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jpeg" ContentType="image/jpeg"/>
  <Override PartName="/word/media/image3.jpeg" ContentType="image/jpeg"/>
  <Override PartName="/word/media/image2.png" ContentType="image/png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2978785" cy="1450340"/>
            <wp:effectExtent l="0" t="0" r="0" b="0"/>
            <wp:docPr id="0" name="Picture" descr="C:\Users\Tajuska\Downloads\LAG Zagorje-Sut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Tajuska\Downloads\LAG Zagorje-Sutla 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rebuchet MS" w:hAnsi="Trebuchet MS"/>
          <w:b/>
          <w:lang w:val="hr-HR"/>
        </w:rPr>
      </w:pPr>
      <w:r>
        <w:rPr>
          <w:rFonts w:ascii="Trebuchet MS" w:hAnsi="Trebuchet MS"/>
          <w:b/>
          <w:lang w:val="hr-HR"/>
        </w:rPr>
      </w:r>
    </w:p>
    <w:p>
      <w:pPr>
        <w:pStyle w:val="Normal"/>
        <w:jc w:val="center"/>
        <w:rPr>
          <w:rFonts w:ascii="Trebuchet MS" w:hAnsi="Trebuchet MS"/>
          <w:b/>
          <w:sz w:val="24"/>
          <w:szCs w:val="24"/>
          <w:lang w:val="hr-HR"/>
        </w:rPr>
      </w:pPr>
      <w:r>
        <w:rPr>
          <w:rFonts w:ascii="Trebuchet MS" w:hAnsi="Trebuchet MS"/>
          <w:b/>
          <w:sz w:val="24"/>
          <w:szCs w:val="24"/>
          <w:lang w:val="hr-HR"/>
        </w:rPr>
      </w:r>
    </w:p>
    <w:p>
      <w:pPr>
        <w:pStyle w:val="Normal"/>
        <w:jc w:val="center"/>
        <w:rPr>
          <w:rFonts w:ascii="Trebuchet MS" w:hAnsi="Trebuchet MS"/>
          <w:b/>
          <w:sz w:val="24"/>
          <w:szCs w:val="24"/>
          <w:lang w:val="hr-HR"/>
        </w:rPr>
      </w:pPr>
      <w:r>
        <w:rPr>
          <w:rFonts w:ascii="Trebuchet MS" w:hAnsi="Trebuchet MS"/>
          <w:b/>
          <w:sz w:val="24"/>
          <w:szCs w:val="24"/>
          <w:lang w:val="hr-HR"/>
        </w:rPr>
      </w:r>
    </w:p>
    <w:p>
      <w:pPr>
        <w:pStyle w:val="Normal"/>
        <w:jc w:val="center"/>
        <w:rPr>
          <w:rFonts w:ascii="Trebuchet MS" w:hAnsi="Trebuchet MS"/>
          <w:b/>
          <w:sz w:val="24"/>
          <w:szCs w:val="24"/>
          <w:lang w:val="hr-HR"/>
        </w:rPr>
      </w:pPr>
      <w:r>
        <w:rPr>
          <w:rFonts w:ascii="Trebuchet MS" w:hAnsi="Trebuchet MS"/>
          <w:b/>
          <w:sz w:val="24"/>
          <w:szCs w:val="24"/>
          <w:lang w:val="hr-HR"/>
        </w:rPr>
      </w:r>
    </w:p>
    <w:p>
      <w:pPr>
        <w:pStyle w:val="Normal"/>
        <w:jc w:val="center"/>
        <w:rPr>
          <w:rFonts w:ascii="Trebuchet MS" w:hAnsi="Trebuchet MS"/>
          <w:b/>
          <w:sz w:val="40"/>
          <w:szCs w:val="24"/>
          <w:lang w:val="hr-HR"/>
        </w:rPr>
      </w:pPr>
      <w:r>
        <w:rPr>
          <w:rFonts w:ascii="Trebuchet MS" w:hAnsi="Trebuchet MS"/>
          <w:b/>
          <w:sz w:val="40"/>
          <w:szCs w:val="24"/>
          <w:lang w:val="hr-HR"/>
        </w:rPr>
        <w:t>POZIV ZA PRIKUPLJANJE PROJEKATA</w:t>
      </w:r>
    </w:p>
    <w:p>
      <w:pPr>
        <w:pStyle w:val="Normal"/>
        <w:jc w:val="center"/>
        <w:rPr>
          <w:rFonts w:ascii="Trebuchet MS" w:hAnsi="Trebuchet MS"/>
          <w:b/>
          <w:sz w:val="40"/>
          <w:szCs w:val="24"/>
          <w:lang w:val="hr-HR"/>
        </w:rPr>
      </w:pPr>
      <w:r>
        <w:rPr>
          <w:rFonts w:ascii="Trebuchet MS" w:hAnsi="Trebuchet MS"/>
          <w:b/>
          <w:sz w:val="40"/>
          <w:szCs w:val="24"/>
          <w:lang w:val="hr-HR"/>
        </w:rPr>
        <w:t>LAG ZAGORJE-SUTLA</w:t>
      </w:r>
    </w:p>
    <w:p>
      <w:pPr>
        <w:pStyle w:val="Normal"/>
        <w:rPr>
          <w:rFonts w:ascii="Trebuchet MS" w:hAnsi="Trebuchet MS"/>
          <w:b/>
          <w:lang w:val="hr-HR"/>
        </w:rPr>
      </w:pPr>
      <w:r>
        <w:rPr>
          <w:rFonts w:ascii="Trebuchet MS" w:hAnsi="Trebuchet MS"/>
          <w:b/>
          <w:lang w:val="hr-HR"/>
        </w:rPr>
      </w:r>
    </w:p>
    <w:p>
      <w:pPr>
        <w:pStyle w:val="Normal"/>
        <w:jc w:val="center"/>
        <w:rPr>
          <w:rFonts w:ascii="Trebuchet MS" w:hAnsi="Trebuchet MS"/>
          <w:b/>
          <w:sz w:val="28"/>
          <w:lang w:val="hr-HR"/>
        </w:rPr>
      </w:pPr>
      <w:r>
        <w:rPr>
          <w:rFonts w:ascii="Trebuchet MS" w:hAnsi="Trebuchet MS"/>
          <w:b/>
          <w:sz w:val="28"/>
          <w:lang w:val="hr-HR"/>
        </w:rPr>
        <w:t>Upute za prijavitelje</w:t>
      </w:r>
    </w:p>
    <w:p>
      <w:pPr>
        <w:pStyle w:val="Normal"/>
        <w:rPr>
          <w:rFonts w:ascii="Trebuchet MS" w:hAnsi="Trebuchet MS"/>
          <w:b/>
          <w:lang w:val="hr-HR"/>
        </w:rPr>
      </w:pPr>
      <w:r>
        <w:rPr>
          <w:rFonts w:ascii="Trebuchet MS" w:hAnsi="Trebuchet MS"/>
          <w:b/>
          <w:lang w:val="hr-HR"/>
        </w:rPr>
      </w:r>
    </w:p>
    <w:p>
      <w:pPr>
        <w:pStyle w:val="Normal"/>
        <w:rPr>
          <w:rFonts w:ascii="Trebuchet MS" w:hAnsi="Trebuchet MS"/>
          <w:b/>
          <w:lang w:val="hr-HR"/>
        </w:rPr>
      </w:pPr>
      <w:r>
        <w:rPr>
          <w:rFonts w:ascii="Trebuchet MS" w:hAnsi="Trebuchet MS"/>
          <w:b/>
          <w:lang w:val="hr-HR"/>
        </w:rPr>
      </w:r>
    </w:p>
    <w:p>
      <w:pPr>
        <w:pStyle w:val="Normal"/>
        <w:jc w:val="center"/>
        <w:rPr>
          <w:rFonts w:ascii="Trebuchet MS" w:hAnsi="Trebuchet MS"/>
          <w:sz w:val="28"/>
          <w:lang w:val="hr-HR"/>
        </w:rPr>
      </w:pPr>
      <w:r>
        <w:rPr>
          <w:rFonts w:ascii="Trebuchet MS" w:hAnsi="Trebuchet MS"/>
          <w:sz w:val="28"/>
          <w:lang w:val="hr-HR"/>
        </w:rPr>
        <w:t>Datum objave Poziva: 16. prosinca 2015. godine</w:t>
      </w:r>
    </w:p>
    <w:p>
      <w:pPr>
        <w:pStyle w:val="Normal"/>
        <w:jc w:val="center"/>
        <w:rPr>
          <w:rFonts w:ascii="Trebuchet MS" w:hAnsi="Trebuchet MS"/>
          <w:sz w:val="28"/>
          <w:lang w:val="hr-HR"/>
        </w:rPr>
      </w:pPr>
      <w:r>
        <w:rPr>
          <w:rFonts w:ascii="Trebuchet MS" w:hAnsi="Trebuchet MS"/>
          <w:sz w:val="28"/>
          <w:lang w:val="hr-HR"/>
        </w:rPr>
        <w:t>Rok za dostavu prijava: 01.veljače 2016. godine</w:t>
      </w:r>
    </w:p>
    <w:p>
      <w:pPr>
        <w:pStyle w:val="Normal"/>
        <w:jc w:val="center"/>
        <w:rPr>
          <w:rFonts w:ascii="Trebuchet MS" w:hAnsi="Trebuchet MS"/>
          <w:b/>
          <w:sz w:val="24"/>
          <w:szCs w:val="24"/>
          <w:lang w:val="hr-HR"/>
        </w:rPr>
      </w:pPr>
      <w:r>
        <w:rPr>
          <w:rFonts w:ascii="Trebuchet MS" w:hAnsi="Trebuchet MS"/>
          <w:b/>
          <w:sz w:val="24"/>
          <w:szCs w:val="24"/>
          <w:lang w:val="hr-HR"/>
        </w:rPr>
      </w:r>
    </w:p>
    <w:p>
      <w:pPr>
        <w:pStyle w:val="Normal"/>
        <w:jc w:val="center"/>
        <w:rPr>
          <w:rFonts w:ascii="Trebuchet MS" w:hAnsi="Trebuchet MS"/>
          <w:b/>
          <w:sz w:val="24"/>
          <w:szCs w:val="24"/>
          <w:lang w:val="hr-HR"/>
        </w:rPr>
      </w:pPr>
      <w:r>
        <w:rPr>
          <w:rFonts w:ascii="Trebuchet MS" w:hAnsi="Trebuchet MS"/>
          <w:b/>
          <w:sz w:val="24"/>
          <w:szCs w:val="24"/>
          <w:lang w:val="hr-HR"/>
        </w:rPr>
      </w:r>
    </w:p>
    <w:p>
      <w:pPr>
        <w:pStyle w:val="Normal"/>
        <w:jc w:val="center"/>
        <w:rPr>
          <w:rFonts w:ascii="Trebuchet MS" w:hAnsi="Trebuchet MS"/>
          <w:b/>
          <w:sz w:val="24"/>
          <w:szCs w:val="24"/>
          <w:lang w:val="hr-HR"/>
        </w:rPr>
      </w:pPr>
      <w:r>
        <w:rPr>
          <w:rFonts w:ascii="Trebuchet MS" w:hAnsi="Trebuchet MS"/>
          <w:b/>
          <w:sz w:val="24"/>
          <w:szCs w:val="24"/>
          <w:lang w:val="hr-HR"/>
        </w:rPr>
      </w:r>
    </w:p>
    <w:p>
      <w:pPr>
        <w:pStyle w:val="Normal"/>
        <w:jc w:val="center"/>
        <w:rPr>
          <w:rFonts w:ascii="Trebuchet MS" w:hAnsi="Trebuchet MS"/>
          <w:b/>
          <w:sz w:val="24"/>
          <w:szCs w:val="24"/>
          <w:lang w:val="hr-HR"/>
        </w:rPr>
      </w:pPr>
      <w:r>
        <w:rPr>
          <w:rFonts w:ascii="Trebuchet MS" w:hAnsi="Trebuchet MS"/>
          <w:b/>
          <w:sz w:val="24"/>
          <w:szCs w:val="24"/>
          <w:lang w:val="hr-HR"/>
        </w:rPr>
      </w:r>
    </w:p>
    <w:p>
      <w:pPr>
        <w:pStyle w:val="Normal"/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RAD LAG-a I IZRADA LOKALNE RAZVOJNE STRATEGIJE SUFINANCIRANA JE SREDSTVIMA EUROPSKE UNIJE</w:t>
      </w:r>
    </w:p>
    <w:p>
      <w:pPr>
        <w:pStyle w:val="Normal"/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Europski poljoprivredni fond za ruralni razvoj</w:t>
      </w:r>
    </w:p>
    <w:p>
      <w:pPr>
        <w:pStyle w:val="Normal"/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Podmjera 19.1. "Priprema pomoć" u okviru Mjere 19. " LEADER - CLLD"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942975" cy="428625"/>
            <wp:effectExtent l="0" t="0" r="0" b="0"/>
            <wp:docPr id="1" name="Picture" descr="https://upload.wikimedia.org/wikipedia/commons/thumb/1/1b/Flag_of_Croatia.svg/300px-Flag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upload.wikimedia.org/wikipedia/commons/thumb/1/1b/Flag_of_Croatia.svg/300px-Flag_of_Croatia.svg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462915" cy="462915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884555" cy="448310"/>
            <wp:effectExtent l="0" t="0" r="0" b="0"/>
            <wp:docPr id="3" name="Picture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PROGRAM RURALNOG RAZVOJA 2014. - 2020.</w:t>
      </w:r>
    </w:p>
    <w:p>
      <w:pPr>
        <w:pStyle w:val="Normal"/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Udio sufinanciranja: 90% EU, 10% RH</w:t>
      </w:r>
    </w:p>
    <w:p>
      <w:pPr>
        <w:pStyle w:val="Normal"/>
        <w:jc w:val="center"/>
        <w:rPr>
          <w:rFonts w:ascii="Trebuchet MS" w:hAnsi="Trebuchet MS"/>
          <w:b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>Europski poljoprivredni fond za ruralni razvoj: Europa ulaže u ruralna područja</w:t>
      </w:r>
    </w:p>
    <w:p>
      <w:pPr>
        <w:pStyle w:val="Normal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</w:r>
    </w:p>
    <w:p>
      <w:pPr>
        <w:pStyle w:val="Normal"/>
        <w:ind w:left="0" w:right="0" w:firstLine="708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</w:r>
    </w:p>
    <w:p>
      <w:pPr>
        <w:pStyle w:val="Normal"/>
        <w:pageBreakBefore/>
        <w:rPr>
          <w:rFonts w:ascii="Trebuchet MS" w:hAnsi="Trebuchet MS"/>
          <w:color w:val="4F81BD"/>
          <w:sz w:val="28"/>
          <w:szCs w:val="28"/>
          <w:lang w:val="hr-HR"/>
        </w:rPr>
      </w:pPr>
      <w:r>
        <w:rPr>
          <w:rFonts w:ascii="Trebuchet MS" w:hAnsi="Trebuchet MS"/>
          <w:color w:val="4F81BD"/>
          <w:sz w:val="28"/>
          <w:szCs w:val="28"/>
          <w:lang w:val="hr-HR"/>
        </w:rPr>
        <w:t>UVOD</w:t>
      </w:r>
    </w:p>
    <w:p>
      <w:pPr>
        <w:pStyle w:val="Normal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</w:r>
    </w:p>
    <w:p>
      <w:pPr>
        <w:pStyle w:val="Normal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Ovaj Poziv za dostavu projektnih ideja raspisuje se u svrhu formiranja BAZE PROJEKTNIH IDEJA LAG-a Zagorje-Sutla.</w:t>
      </w:r>
    </w:p>
    <w:p>
      <w:pPr>
        <w:pStyle w:val="Normal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b/>
          <w:sz w:val="22"/>
          <w:szCs w:val="22"/>
          <w:lang w:val="hr-HR"/>
        </w:rPr>
        <w:t xml:space="preserve">Baza projektnih ideja </w:t>
      </w:r>
      <w:r>
        <w:rPr>
          <w:rFonts w:ascii="Trebuchet MS" w:hAnsi="Trebuchet MS"/>
          <w:sz w:val="22"/>
          <w:szCs w:val="22"/>
          <w:lang w:val="hr-HR"/>
        </w:rPr>
        <w:t xml:space="preserve">predstavlja operacionalizaciju lokalne razvojne strategije (LRS) LAG-a Zagorje-Sutla. Ona je temelj uspješne provedbe LRS, a </w:t>
      </w:r>
      <w:r>
        <w:rPr>
          <w:rFonts w:ascii="Trebuchet MS" w:hAnsi="Trebuchet MS"/>
          <w:b/>
          <w:sz w:val="22"/>
          <w:szCs w:val="22"/>
          <w:lang w:val="hr-HR"/>
        </w:rPr>
        <w:t xml:space="preserve">osnovni cilj </w:t>
      </w:r>
      <w:r>
        <w:rPr>
          <w:rFonts w:ascii="Trebuchet MS" w:hAnsi="Trebuchet MS"/>
          <w:sz w:val="22"/>
          <w:szCs w:val="22"/>
          <w:lang w:val="hr-HR"/>
        </w:rPr>
        <w:t>je učinkovito planiranje i funkcionalno praćenje provedbe LRS Zagorje-Sutla. Baza projektnih ideja LAG-a Zagorje-Sutla je službeni registar projektnih ideja s područja koje obuhvaća LAG Zagorje-Sutla (</w:t>
      </w:r>
      <w:r>
        <w:rPr>
          <w:rFonts w:ascii="Trebuchet MS" w:hAnsi="Trebuchet MS"/>
          <w:b/>
          <w:sz w:val="22"/>
          <w:szCs w:val="22"/>
          <w:lang w:val="hr-HR"/>
        </w:rPr>
        <w:t>obuhvaća ukupno 11 jedinica lokalne samouprave</w:t>
      </w:r>
      <w:r>
        <w:rPr>
          <w:rFonts w:ascii="Trebuchet MS" w:hAnsi="Trebuchet MS"/>
          <w:sz w:val="22"/>
          <w:szCs w:val="22"/>
          <w:lang w:val="hr-HR"/>
        </w:rPr>
        <w:t xml:space="preserve"> na  </w:t>
      </w:r>
      <w:r>
        <w:rPr>
          <w:rFonts w:ascii="Trebuchet MS" w:hAnsi="Trebuchet MS"/>
          <w:b/>
          <w:sz w:val="22"/>
          <w:szCs w:val="22"/>
          <w:lang w:val="hr-HR"/>
        </w:rPr>
        <w:t>površini</w:t>
      </w:r>
      <w:r>
        <w:rPr>
          <w:rFonts w:ascii="Trebuchet MS" w:hAnsi="Trebuchet MS"/>
          <w:sz w:val="22"/>
          <w:szCs w:val="22"/>
          <w:lang w:val="hr-HR"/>
        </w:rPr>
        <w:t xml:space="preserve"> većoj </w:t>
      </w:r>
      <w:r>
        <w:rPr>
          <w:rFonts w:ascii="Trebuchet MS" w:hAnsi="Trebuchet MS"/>
          <w:b/>
          <w:sz w:val="22"/>
          <w:szCs w:val="22"/>
          <w:lang w:val="hr-HR"/>
        </w:rPr>
        <w:t>od 439 km</w:t>
      </w:r>
      <w:r>
        <w:rPr>
          <w:rFonts w:ascii="Trebuchet MS" w:hAnsi="Trebuchet MS"/>
          <w:b/>
          <w:sz w:val="22"/>
          <w:szCs w:val="22"/>
          <w:vertAlign w:val="superscript"/>
          <w:lang w:val="hr-HR"/>
        </w:rPr>
        <w:t>2</w:t>
      </w:r>
      <w:r>
        <w:rPr>
          <w:rFonts w:ascii="Trebuchet MS" w:hAnsi="Trebuchet MS"/>
          <w:b/>
          <w:sz w:val="22"/>
          <w:szCs w:val="22"/>
          <w:lang w:val="hr-HR"/>
        </w:rPr>
        <w:t xml:space="preserve"> sa više od 49 tisuća stanovnika</w:t>
      </w:r>
      <w:r>
        <w:rPr>
          <w:rFonts w:ascii="Trebuchet MS" w:hAnsi="Trebuchet MS"/>
          <w:sz w:val="22"/>
          <w:szCs w:val="22"/>
          <w:lang w:val="hr-HR"/>
        </w:rPr>
        <w:t xml:space="preserve">. Uključuje 3 grada: Pregradu, Klanjec i Zabok te 8 općina: Sveti Križ Začretje, Krapinske Toplice, Kraljevec na Sutli, Hum na Sutli, Desinić, Kumrovec, Tuhelj i Zagorska Sela). </w:t>
      </w:r>
    </w:p>
    <w:p>
      <w:pPr>
        <w:pStyle w:val="Normal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 xml:space="preserve">Baza se </w:t>
      </w:r>
      <w:r>
        <w:rPr>
          <w:rFonts w:ascii="Trebuchet MS" w:hAnsi="Trebuchet MS"/>
          <w:b/>
          <w:sz w:val="22"/>
          <w:szCs w:val="22"/>
          <w:lang w:val="hr-HR"/>
        </w:rPr>
        <w:t xml:space="preserve">formira </w:t>
      </w:r>
      <w:r>
        <w:rPr>
          <w:rFonts w:ascii="Trebuchet MS" w:hAnsi="Trebuchet MS"/>
          <w:sz w:val="22"/>
          <w:szCs w:val="22"/>
          <w:lang w:val="hr-HR"/>
        </w:rPr>
        <w:t>putem službeno utvrđenog postupka za prikupljanje projektnih ideja koji se sastoji od: objave javnog poziva za dostavu projekata, informiranja zainteresiranih dionika kroz komunikacijske alate te putem info dana, zaprimanje projekata, administrativna i kvalitativna kontrola/ocjenjivanje projekata, uspostava rang liste te odabir projekata koji će biti utvrđeni na ljestvici prioriteta. Bazu formiraju stručne službe LAG-a (administrativni djelatnici) te rang listu i listu prioriteta potvrđuje Upravni odbor i Skupština LAG-a.</w:t>
      </w:r>
    </w:p>
    <w:p>
      <w:pPr>
        <w:pStyle w:val="Normal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 xml:space="preserve">Ovakav način prikupljanja projektnih ideja i uspostava Baze projekata predstavlja sustav za učinkovitu koordinaciju i upravljanje provedbom LRS LAG-a Zagorje-Sutla, a kako bi se poštivala načela LEADER / CLLD koncepta te poticao razvoj „odozdo prema gore“. </w:t>
      </w:r>
    </w:p>
    <w:p>
      <w:pPr>
        <w:pStyle w:val="Normal"/>
        <w:jc w:val="both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</w:r>
    </w:p>
    <w:p>
      <w:pPr>
        <w:pStyle w:val="Stilnaslova2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  <w:t>NAČIN PRIJAVE</w:t>
      </w:r>
    </w:p>
    <w:p>
      <w:pPr>
        <w:pStyle w:val="Normal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Prihvatljivi prijavitelji svoje projekte prijavljuju koristeći:</w:t>
      </w:r>
    </w:p>
    <w:p>
      <w:pPr>
        <w:pStyle w:val="ListParagraph"/>
        <w:numPr>
          <w:ilvl w:val="0"/>
          <w:numId w:val="13"/>
        </w:numPr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Obrazac za prijavu koji je sastavni dio ovih Uputa sa svim popratnim dokumentima – Izjava o dvostrukom financiranju.</w:t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 xml:space="preserve">Projekti se šalju redovnom poštom, </w:t>
      </w:r>
      <w:r>
        <w:rPr>
          <w:rFonts w:ascii="Trebuchet MS" w:hAnsi="Trebuchet MS"/>
          <w:i/>
          <w:sz w:val="22"/>
          <w:szCs w:val="22"/>
          <w:lang w:val="hr-HR"/>
        </w:rPr>
        <w:t xml:space="preserve">na </w:t>
      </w:r>
      <w:r>
        <w:rPr>
          <w:rFonts w:ascii="Trebuchet MS" w:hAnsi="Trebuchet MS"/>
          <w:sz w:val="22"/>
          <w:szCs w:val="22"/>
          <w:lang w:val="hr-HR"/>
        </w:rPr>
        <w:t>adresu LAG Zagorje-Sutla, Zagorska Sela 39, 49296 Zagorska Sela,najkasnije do 1. velječe 2016. godine. Projekti se mogu i osobno uručiti u podružnici Pregrada (Pod Lenartom 1, Društveni dom) od 8 do 16 sati radnim danom, uz prethodnu najavu na dolje navedene kontakte.</w:t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 xml:space="preserve">Sva dodatna pitanja moguće je postaviti putem e-maila </w:t>
      </w:r>
      <w:hyperlink r:id="rId6">
        <w:r>
          <w:rPr>
            <w:rStyle w:val="Internetskapoveznica"/>
            <w:rFonts w:ascii="Trebuchet MS" w:hAnsi="Trebuchet MS"/>
            <w:sz w:val="22"/>
            <w:szCs w:val="22"/>
            <w:lang w:val="hr-HR"/>
          </w:rPr>
          <w:t>projekti@zagorje-sutla.eu</w:t>
        </w:r>
      </w:hyperlink>
      <w:r>
        <w:rPr>
          <w:rFonts w:ascii="Trebuchet MS" w:hAnsi="Trebuchet MS"/>
          <w:sz w:val="22"/>
          <w:szCs w:val="22"/>
          <w:lang w:val="hr-HR"/>
        </w:rPr>
        <w:t xml:space="preserve"> najkasnije do </w:t>
      </w:r>
      <w:r>
        <w:rPr>
          <w:rFonts w:ascii="Trebuchet MS" w:hAnsi="Trebuchet MS"/>
          <w:i/>
          <w:sz w:val="22"/>
          <w:szCs w:val="22"/>
          <w:lang w:val="hr-HR"/>
        </w:rPr>
        <w:t>25. siječnja 2016. godine</w:t>
      </w:r>
      <w:r>
        <w:rPr>
          <w:rFonts w:ascii="Trebuchet MS" w:hAnsi="Trebuchet MS"/>
          <w:sz w:val="22"/>
          <w:szCs w:val="22"/>
          <w:lang w:val="hr-HR"/>
        </w:rPr>
        <w:t xml:space="preserve"> ili na telefon 0994237161 odnosno 0994237151 ili osobnim dolaskom u podružnicu Pregrada.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fill="92D050" w:val="clear"/>
        <w:jc w:val="center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INFO DANI u vrhu predstavljanja Poziva održat će se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fill="92D050" w:val="clear"/>
        <w:jc w:val="center"/>
        <w:rPr>
          <w:rFonts w:ascii="Trebuchet MS" w:hAnsi="Trebuchet MS"/>
          <w:i/>
          <w:sz w:val="22"/>
          <w:szCs w:val="22"/>
          <w:lang w:val="hr-HR"/>
        </w:rPr>
      </w:pPr>
      <w:r>
        <w:rPr>
          <w:rFonts w:ascii="Trebuchet MS" w:hAnsi="Trebuchet MS"/>
          <w:i/>
          <w:sz w:val="22"/>
          <w:szCs w:val="22"/>
          <w:lang w:val="hr-HR"/>
        </w:rPr>
        <w:t>7. siječnja 2016. godine, u 17 sati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fill="92D050" w:val="clear"/>
        <w:jc w:val="center"/>
        <w:rPr>
          <w:rFonts w:ascii="Trebuchet MS" w:hAnsi="Trebuchet MS"/>
          <w:i/>
          <w:sz w:val="22"/>
          <w:szCs w:val="22"/>
          <w:lang w:val="hr-HR"/>
        </w:rPr>
      </w:pPr>
      <w:r>
        <w:rPr>
          <w:rFonts w:ascii="Trebuchet MS" w:hAnsi="Trebuchet MS"/>
          <w:i/>
          <w:sz w:val="22"/>
          <w:szCs w:val="22"/>
          <w:lang w:val="hr-HR"/>
        </w:rPr>
        <w:t>U Centru za mlade i nezavisnu kulturu (Zelena dvorana), Trg D. Domjanića 6, Zabok</w:t>
      </w:r>
    </w:p>
    <w:p>
      <w:pPr>
        <w:pStyle w:val="Normal"/>
        <w:rPr>
          <w:rFonts w:ascii="Trebuchet MS" w:hAnsi="Trebuchet MS"/>
          <w:i/>
          <w:lang w:val="hr-HR"/>
        </w:rPr>
      </w:pPr>
      <w:r>
        <w:rPr>
          <w:rFonts w:ascii="Trebuchet MS" w:hAnsi="Trebuchet MS"/>
          <w:i/>
          <w:lang w:val="hr-HR"/>
        </w:rPr>
      </w:r>
    </w:p>
    <w:p>
      <w:pPr>
        <w:pStyle w:val="Normal"/>
        <w:rPr>
          <w:rFonts w:ascii="Trebuchet MS" w:hAnsi="Trebuchet MS"/>
          <w:i/>
          <w:lang w:val="hr-HR"/>
        </w:rPr>
      </w:pPr>
      <w:r>
        <w:rPr>
          <w:rFonts w:ascii="Trebuchet MS" w:hAnsi="Trebuchet MS"/>
          <w:i/>
          <w:lang w:val="hr-HR"/>
        </w:rPr>
      </w:r>
    </w:p>
    <w:p>
      <w:pPr>
        <w:pStyle w:val="Normal"/>
        <w:rPr>
          <w:rFonts w:ascii="Trebuchet MS" w:hAnsi="Trebuchet MS"/>
          <w:i/>
          <w:lang w:val="hr-HR"/>
        </w:rPr>
      </w:pPr>
      <w:r>
        <w:rPr>
          <w:rFonts w:ascii="Trebuchet MS" w:hAnsi="Trebuchet MS"/>
          <w:i/>
          <w:lang w:val="hr-HR"/>
        </w:rPr>
      </w:r>
    </w:p>
    <w:p>
      <w:pPr>
        <w:pStyle w:val="Normal"/>
        <w:rPr>
          <w:rFonts w:ascii="Trebuchet MS" w:hAnsi="Trebuchet MS"/>
          <w:i/>
          <w:lang w:val="hr-HR"/>
        </w:rPr>
      </w:pPr>
      <w:r>
        <w:rPr>
          <w:rFonts w:ascii="Trebuchet MS" w:hAnsi="Trebuchet MS"/>
          <w:i/>
          <w:lang w:val="hr-HR"/>
        </w:rPr>
      </w:r>
    </w:p>
    <w:p>
      <w:pPr>
        <w:pStyle w:val="Stilnaslova2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  <w:t>PRIHVATLJIVI PRIJAVITELJI, AKTIVNOSTI I USKLAĐENOST S LRS</w:t>
      </w:r>
    </w:p>
    <w:p>
      <w:pPr>
        <w:pStyle w:val="Normal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</w:r>
    </w:p>
    <w:p>
      <w:pPr>
        <w:pStyle w:val="Normal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Prihvatljivi prijavitelji te opis aktivnosti koji je prihvatljiv kao i usklađenost sa STRATEŠKIM PRIORITETIMA RAZVOJA LAG-a ZAGORJE-SUTLA nalaze se u MATRICI STRATEŠKIH PRIORITETA, TIPOVA OPERACIJA I PRIHVATLJIVIH PRIJAVITELJA (Dodatak 1).</w:t>
      </w:r>
    </w:p>
    <w:p>
      <w:pPr>
        <w:pStyle w:val="Normal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</w:r>
    </w:p>
    <w:p>
      <w:pPr>
        <w:pStyle w:val="Normal"/>
        <w:jc w:val="both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</w:r>
    </w:p>
    <w:p>
      <w:pPr>
        <w:pStyle w:val="Stilnaslova2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  <w:t>DOPRINOS INOVATIVNOSTI, ODRŽIVOST PROJEKTNOG PRIJEDLOGA</w:t>
      </w:r>
    </w:p>
    <w:p>
      <w:pPr>
        <w:pStyle w:val="Normal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Projekti koji se prijavljuju u Bazu projekata moraju posebnu pozornost obratiti na inovativnost i doprinos projekta:</w:t>
      </w:r>
    </w:p>
    <w:p>
      <w:pPr>
        <w:pStyle w:val="ListParagraph"/>
        <w:numPr>
          <w:ilvl w:val="0"/>
          <w:numId w:val="14"/>
        </w:numPr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Uvođenju novih poslovnih procesa unutar postojećeg djelovanja društva / obrta / obiteljskog poljoprivrednog gospodarstva – npr. nabava opreme za proizvodnju novog proizvoda, uvođenje novog procesa rada koji do sada nije bio prisutan</w:t>
      </w:r>
    </w:p>
    <w:p>
      <w:pPr>
        <w:pStyle w:val="ListParagraph"/>
        <w:numPr>
          <w:ilvl w:val="0"/>
          <w:numId w:val="14"/>
        </w:numPr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Modernizacija trenutnih procesa – nabava opreme / provođenje radova koji za cilj imaju modernizirati postojeće radove, proizvodnju proizvoda</w:t>
      </w:r>
    </w:p>
    <w:p>
      <w:pPr>
        <w:pStyle w:val="ListParagraph"/>
        <w:numPr>
          <w:ilvl w:val="0"/>
          <w:numId w:val="14"/>
        </w:numPr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Uspostava nove usluge u lokalnom okruženju – npr. izgradnja biciklističke staze koje do sada nije bilo na tom području, a koja uključuje tematski prikaz određene teme kroz stazu (npr. povezati biciklističku stazu uz koju su postavljene table s uputama o zdravom životu ili vježbanju na određenim punktovima, uspostava vinske biciklističke staze, poučna trim staza i sl.)</w:t>
      </w:r>
    </w:p>
    <w:p>
      <w:pPr>
        <w:pStyle w:val="ListParagraph"/>
        <w:numPr>
          <w:ilvl w:val="0"/>
          <w:numId w:val="14"/>
        </w:numPr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Modernizacija postojeće lokalne infrastrukture koja uključuje inovativnu komponentu – npr. uređenje dječjih igrališta novim spravama koje potiču psihološki i fizički razvoj djeteta nudeći nove izazovne oblike vježbanja, kombiniranje zdravog i sigurnog načina života, poticanje na aktivniju fizičku aktivnost i sl.)</w:t>
      </w:r>
    </w:p>
    <w:p>
      <w:pPr>
        <w:pStyle w:val="ListParagraph"/>
        <w:numPr>
          <w:ilvl w:val="0"/>
          <w:numId w:val="14"/>
        </w:numPr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Inovativni projekti suradnje – poticanje razmjene iskustva s drugim LAG-ovima (međuregionalno i transnacionalno) koji se temelje na fokusiranim temama i debatiranje oko zajedničkih /aktualnih tema, a u svrhu jačanja kapaciteta LAG-a te prijenos dobre prakse, promicanje LEADER i CLLD pristupa u razvoju lokalne zajednice</w:t>
      </w:r>
    </w:p>
    <w:p>
      <w:pPr>
        <w:pStyle w:val="Normal"/>
        <w:ind w:left="360" w:right="0" w:hanging="0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ind w:left="360" w:right="0" w:hanging="0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Svi projekti prijavljeni u Bazu projekata moraju dokazati svoju održivost kroz:</w:t>
      </w:r>
    </w:p>
    <w:p>
      <w:pPr>
        <w:pStyle w:val="ListParagraph"/>
        <w:numPr>
          <w:ilvl w:val="0"/>
          <w:numId w:val="15"/>
        </w:numPr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Institucionalna održivost – kako će se aktivnosti financirane kroz projekt nastaviti provoditi dalje u okviru redovnog poslovanja, tko će upravljati rezultatima projekata, hoće li se rezultati iskoristiti za daljnju pripremu projekata?</w:t>
      </w:r>
    </w:p>
    <w:p>
      <w:pPr>
        <w:pStyle w:val="ListParagraph"/>
        <w:numPr>
          <w:ilvl w:val="0"/>
          <w:numId w:val="15"/>
        </w:numPr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Financijska održivost projekta – jasno prikazati kako će se rezultati projekta financirati nakon što završi javna potpora (npr. tko će podnijeti trošak servisiranja nabavljenog stroja ili opreme, da li je taj trošak planiran u redovnom poslovanju, tko će održavati uspostavljenu lokalnu infrastrukturu)?</w:t>
      </w:r>
    </w:p>
    <w:p>
      <w:pPr>
        <w:pStyle w:val="ListParagraph"/>
        <w:numPr>
          <w:ilvl w:val="0"/>
          <w:numId w:val="15"/>
        </w:numPr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Održivost u smislu zaštite okoliša – jasno prikazati kako predloženi projekt pridonosi zaštiti okoliša (koriste li se obnovljivi izvori energije, koriste li se prirodni materijali, smanjuje li se razina štetne emisije i sl.)</w:t>
      </w:r>
    </w:p>
    <w:p>
      <w:pPr>
        <w:pStyle w:val="Normal"/>
        <w:ind w:left="360" w:right="0" w:hanging="0"/>
        <w:jc w:val="both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</w:r>
    </w:p>
    <w:p>
      <w:pPr>
        <w:pStyle w:val="Normal"/>
        <w:jc w:val="both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</w:r>
    </w:p>
    <w:p>
      <w:pPr>
        <w:pStyle w:val="Stilnaslova2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  <w:t>KRITERIJI ZA OCJENJIVANJE</w:t>
      </w:r>
    </w:p>
    <w:p>
      <w:pPr>
        <w:pStyle w:val="Normal"/>
        <w:rPr>
          <w:rFonts w:ascii="Trebuchet MS" w:hAnsi="Trebuchet MS"/>
          <w:lang w:val="hr-HR"/>
        </w:rPr>
      </w:pPr>
      <w:r>
        <w:rPr>
          <w:rFonts w:ascii="Trebuchet MS" w:hAnsi="Trebuchet MS"/>
          <w:lang w:val="hr-HR"/>
        </w:rPr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Kriteriji za odabir projekata su:</w:t>
      </w:r>
    </w:p>
    <w:p>
      <w:pPr>
        <w:pStyle w:val="Normal"/>
        <w:ind w:left="1134" w:right="0" w:hanging="567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1.</w:t>
        <w:tab/>
        <w:t>ADMINISTRATIVNI – utvrđuje se da li projekti koji su zaprimljeni sadrže svu potrebu dokumentaciju navedenu u Pozivu za dostavu projektnih prijedloga.</w:t>
      </w:r>
    </w:p>
    <w:p>
      <w:pPr>
        <w:pStyle w:val="Normal"/>
        <w:ind w:left="1134" w:right="0" w:hanging="567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tbl>
      <w:tblPr>
        <w:jc w:val="left"/>
        <w:tblInd w:w="0" w:type="dxa"/>
        <w:tblBorders>
          <w:top w:val="single" w:sz="4" w:space="0" w:color="C0504D"/>
          <w:left w:val="single" w:sz="4" w:space="0" w:color="C0504D"/>
          <w:bottom w:val="single" w:sz="4" w:space="0" w:color="C0504D"/>
          <w:insideH w:val="single" w:sz="4" w:space="0" w:color="C0504D"/>
          <w:right w:val="single" w:sz="4" w:space="0" w:color="C0504D"/>
          <w:insideV w:val="single" w:sz="4" w:space="0" w:color="C0504D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992"/>
        <w:gridCol w:w="4819"/>
      </w:tblGrid>
      <w:tr>
        <w:trPr>
          <w:cantSplit w:val="false"/>
        </w:trPr>
        <w:tc>
          <w:tcPr>
            <w:tcW w:w="3539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insideH w:val="single" w:sz="4" w:space="0" w:color="C0504D"/>
              <w:right w:val="single" w:sz="4" w:space="0" w:color="C0504D"/>
              <w:insideV w:val="single" w:sz="4" w:space="0" w:color="C0504D"/>
            </w:tcBorders>
            <w:shd w:fill="C0504D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  <w:t>KRITERIJ</w:t>
            </w:r>
          </w:p>
        </w:tc>
        <w:tc>
          <w:tcPr>
            <w:tcW w:w="5811" w:type="dxa"/>
            <w:gridSpan w:val="2"/>
            <w:tcBorders>
              <w:top w:val="single" w:sz="4" w:space="0" w:color="C0504D"/>
              <w:left w:val="single" w:sz="4" w:space="0" w:color="C0504D"/>
              <w:bottom w:val="single" w:sz="4" w:space="0" w:color="C0504D"/>
              <w:insideH w:val="single" w:sz="4" w:space="0" w:color="C0504D"/>
              <w:right w:val="single" w:sz="4" w:space="0" w:color="C0504D"/>
              <w:insideV w:val="single" w:sz="4" w:space="0" w:color="C0504D"/>
            </w:tcBorders>
            <w:shd w:fill="C0504D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  <w:t>ODGOVOR</w:t>
            </w:r>
          </w:p>
        </w:tc>
      </w:tr>
      <w:tr>
        <w:trPr>
          <w:cantSplit w:val="false"/>
        </w:trPr>
        <w:tc>
          <w:tcPr>
            <w:tcW w:w="3539" w:type="dxa"/>
            <w:vMerge w:val="restart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Projektni prijedlog zaprimljen je u roku navedenom u Pozivu za dostavu projektnih prijedloga</w:t>
            </w:r>
          </w:p>
        </w:tc>
        <w:tc>
          <w:tcPr>
            <w:tcW w:w="992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DA</w:t>
            </w:r>
          </w:p>
        </w:tc>
        <w:tc>
          <w:tcPr>
            <w:tcW w:w="4819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Ako je odgovor da, provjerava se da li projekt sadrži sve potrebne dokumente</w:t>
            </w:r>
          </w:p>
        </w:tc>
      </w:tr>
      <w:tr>
        <w:trPr>
          <w:cantSplit w:val="false"/>
        </w:trPr>
        <w:tc>
          <w:tcPr>
            <w:tcW w:w="3539" w:type="dxa"/>
            <w:vMerge w:val="continue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b/>
                <w:bCs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0"/>
                <w:lang w:val="en-US" w:eastAsia="ja-JP"/>
              </w:rPr>
            </w:r>
          </w:p>
        </w:tc>
        <w:tc>
          <w:tcPr>
            <w:tcW w:w="992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NE</w:t>
            </w:r>
          </w:p>
        </w:tc>
        <w:tc>
          <w:tcPr>
            <w:tcW w:w="4819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Ako je odgovor ne, projekt se odbacuje</w:t>
            </w:r>
          </w:p>
        </w:tc>
      </w:tr>
      <w:tr>
        <w:trPr>
          <w:cantSplit w:val="false"/>
        </w:trPr>
        <w:tc>
          <w:tcPr>
            <w:tcW w:w="3539" w:type="dxa"/>
            <w:vMerge w:val="restart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Projektni prijedlog sadrži sve potrebne dokumente – Obrazac za prijavu projekta s uključenim proračunom, Izjava o dvostrukom financiranju</w:t>
            </w:r>
          </w:p>
        </w:tc>
        <w:tc>
          <w:tcPr>
            <w:tcW w:w="992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DA</w:t>
            </w:r>
          </w:p>
        </w:tc>
        <w:tc>
          <w:tcPr>
            <w:tcW w:w="4819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Ako je odgovor da, projekt se automatski šalje na ocjenu kvalitete</w:t>
            </w:r>
          </w:p>
        </w:tc>
      </w:tr>
      <w:tr>
        <w:trPr>
          <w:cantSplit w:val="false"/>
        </w:trPr>
        <w:tc>
          <w:tcPr>
            <w:tcW w:w="3539" w:type="dxa"/>
            <w:vMerge w:val="continue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cs="" w:ascii="Trebuchet MS" w:hAnsi="Trebuchet MS"/>
                <w:b/>
                <w:bCs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0"/>
                <w:lang w:val="en-US" w:eastAsia="ja-JP"/>
              </w:rPr>
            </w:r>
          </w:p>
        </w:tc>
        <w:tc>
          <w:tcPr>
            <w:tcW w:w="992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NE</w:t>
            </w:r>
          </w:p>
        </w:tc>
        <w:tc>
          <w:tcPr>
            <w:tcW w:w="4819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Ako je odgovor ne, Prijavitelju se šalje upit s dopunom dokumentacije u roku 7 dana o dana primitka nadopune, ako je nadopuna zaprimljena u navedenom roku i cjelovita je, projekt se šalje u procjenu kvalitete projekta, ako nadopuna nije dostavljena, projekt se odbacuje</w:t>
            </w:r>
          </w:p>
        </w:tc>
      </w:tr>
    </w:tbl>
    <w:p>
      <w:pPr>
        <w:pStyle w:val="Normal"/>
        <w:ind w:left="1134" w:right="0" w:hanging="1134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p>
      <w:pPr>
        <w:pStyle w:val="Normal"/>
        <w:ind w:left="1134" w:right="0" w:hanging="567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2.</w:t>
        <w:tab/>
        <w:t xml:space="preserve">PROCJENA KVALITETE PROJEKTA – utvrđuje se u odnosu na stratešku integraciju, usklađenost s LRS, inovativnost, financiranje, temeljem poštivanja načela ujednačenog razvoja područja, održivost, razvoj gospodarstva, upravljanje projektima, jednake mogućnosti, utjecaj na okoliš. </w:t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Posebni kriteriji odabira projekata se odnose na projekte suradnje LAG-a Zagorje-Sutla</w:t>
      </w:r>
    </w:p>
    <w:p>
      <w:pPr>
        <w:pStyle w:val="Normal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</w:r>
    </w:p>
    <w:tbl>
      <w:tblPr>
        <w:jc w:val="left"/>
        <w:tblInd w:w="0" w:type="dxa"/>
        <w:tblBorders>
          <w:top w:val="single" w:sz="4" w:space="0" w:color="C0504D"/>
          <w:left w:val="single" w:sz="4" w:space="0" w:color="C0504D"/>
          <w:bottom w:val="single" w:sz="4" w:space="0" w:color="C0504D"/>
          <w:insideH w:val="single" w:sz="4" w:space="0" w:color="C0504D"/>
          <w:right w:val="single" w:sz="4" w:space="0" w:color="C0504D"/>
          <w:insideV w:val="single" w:sz="4" w:space="0" w:color="C0504D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390"/>
        <w:gridCol w:w="3264"/>
        <w:gridCol w:w="1"/>
        <w:gridCol w:w="1359"/>
        <w:gridCol w:w="1"/>
        <w:gridCol w:w="1152"/>
        <w:gridCol w:w="1"/>
        <w:gridCol w:w="1456"/>
      </w:tblGrid>
      <w:tr>
        <w:trPr>
          <w:cantSplit w:val="false"/>
        </w:trPr>
        <w:tc>
          <w:tcPr>
            <w:tcW w:w="663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insideH w:val="single" w:sz="4" w:space="0" w:color="C0504D"/>
              <w:right w:val="single" w:sz="4" w:space="0" w:color="C0504D"/>
              <w:insideV w:val="single" w:sz="4" w:space="0" w:color="C0504D"/>
            </w:tcBorders>
            <w:shd w:fill="C0504D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</w:pPr>
            <w:bookmarkStart w:id="0" w:name="_GoBack"/>
            <w:bookmarkEnd w:id="0"/>
            <w:r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  <w:t>R.br.</w:t>
            </w:r>
          </w:p>
        </w:tc>
        <w:tc>
          <w:tcPr>
            <w:tcW w:w="1390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insideH w:val="single" w:sz="4" w:space="0" w:color="C0504D"/>
              <w:right w:val="single" w:sz="4" w:space="0" w:color="C0504D"/>
              <w:insideV w:val="single" w:sz="4" w:space="0" w:color="C0504D"/>
            </w:tcBorders>
            <w:shd w:fill="C0504D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  <w:t>KRITERIJ</w:t>
            </w:r>
          </w:p>
        </w:tc>
        <w:tc>
          <w:tcPr>
            <w:tcW w:w="3264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insideH w:val="single" w:sz="4" w:space="0" w:color="C0504D"/>
              <w:right w:val="single" w:sz="4" w:space="0" w:color="C0504D"/>
              <w:insideV w:val="single" w:sz="4" w:space="0" w:color="C0504D"/>
            </w:tcBorders>
            <w:shd w:fill="C0504D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  <w:t>OPIS KRITERIJA</w:t>
            </w:r>
          </w:p>
        </w:tc>
        <w:tc>
          <w:tcPr>
            <w:tcW w:w="1360" w:type="dxa"/>
            <w:gridSpan w:val="2"/>
            <w:tcBorders>
              <w:top w:val="single" w:sz="4" w:space="0" w:color="C0504D"/>
              <w:left w:val="single" w:sz="4" w:space="0" w:color="C0504D"/>
              <w:bottom w:val="single" w:sz="4" w:space="0" w:color="C0504D"/>
              <w:insideH w:val="single" w:sz="4" w:space="0" w:color="C0504D"/>
              <w:right w:val="single" w:sz="4" w:space="0" w:color="C0504D"/>
              <w:insideV w:val="single" w:sz="4" w:space="0" w:color="C0504D"/>
            </w:tcBorders>
            <w:shd w:fill="C0504D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  <w:t>MAKSIMALAN BROJ BODOVA</w:t>
            </w:r>
          </w:p>
        </w:tc>
        <w:tc>
          <w:tcPr>
            <w:tcW w:w="1153" w:type="dxa"/>
            <w:gridSpan w:val="2"/>
            <w:tcBorders>
              <w:top w:val="single" w:sz="4" w:space="0" w:color="C0504D"/>
              <w:left w:val="single" w:sz="4" w:space="0" w:color="C0504D"/>
              <w:bottom w:val="single" w:sz="4" w:space="0" w:color="C0504D"/>
              <w:insideH w:val="single" w:sz="4" w:space="0" w:color="C0504D"/>
              <w:right w:val="single" w:sz="4" w:space="0" w:color="C0504D"/>
              <w:insideV w:val="single" w:sz="4" w:space="0" w:color="C0504D"/>
            </w:tcBorders>
            <w:shd w:fill="C0504D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  <w:t>OSTVAREN BROJ BODOVA</w:t>
            </w:r>
          </w:p>
        </w:tc>
        <w:tc>
          <w:tcPr>
            <w:tcW w:w="1457" w:type="dxa"/>
            <w:gridSpan w:val="2"/>
            <w:tcBorders>
              <w:top w:val="single" w:sz="4" w:space="0" w:color="C0504D"/>
              <w:left w:val="single" w:sz="4" w:space="0" w:color="C0504D"/>
              <w:bottom w:val="single" w:sz="4" w:space="0" w:color="C0504D"/>
              <w:insideH w:val="single" w:sz="4" w:space="0" w:color="C0504D"/>
              <w:right w:val="single" w:sz="4" w:space="0" w:color="C0504D"/>
              <w:insideV w:val="single" w:sz="4" w:space="0" w:color="C0504D"/>
            </w:tcBorders>
            <w:shd w:fill="C0504D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  <w:t>OBJAŠNJENJE EVALUATORA</w:t>
            </w:r>
          </w:p>
        </w:tc>
      </w:tr>
      <w:tr>
        <w:trPr>
          <w:cantSplit w:val="false"/>
        </w:trPr>
        <w:tc>
          <w:tcPr>
            <w:tcW w:w="663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1.</w:t>
            </w:r>
          </w:p>
        </w:tc>
        <w:tc>
          <w:tcPr>
            <w:tcW w:w="1390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Strateška integracija</w:t>
            </w:r>
          </w:p>
        </w:tc>
        <w:tc>
          <w:tcPr>
            <w:tcW w:w="3264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Projektna ideja usklađena je sa strateškim ciljevima (jasno navedena strategija, cilj, prioritet, mjera) na: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64" w:right="0" w:hanging="36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Lokalnoj razini = 1 bod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64" w:right="0" w:hanging="36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Na regionalnoj razini = 1 bod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64" w:right="0" w:hanging="36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Na nacionalnoj razini = 1 boda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64" w:right="0" w:hanging="36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Na EU razini = 1 bod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364" w:right="0" w:hanging="36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Na sve 4 razine = 4 boda</w:t>
            </w:r>
          </w:p>
        </w:tc>
        <w:tc>
          <w:tcPr>
            <w:tcW w:w="1360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4</w:t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457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  <w:tr>
        <w:trPr>
          <w:cantSplit w:val="false"/>
        </w:trPr>
        <w:tc>
          <w:tcPr>
            <w:tcW w:w="663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2.</w:t>
            </w:r>
          </w:p>
        </w:tc>
        <w:tc>
          <w:tcPr>
            <w:tcW w:w="1390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Usklađenost s LRS</w:t>
            </w:r>
          </w:p>
        </w:tc>
        <w:tc>
          <w:tcPr>
            <w:tcW w:w="3264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Projektna ideja usklađena je sa strateškim programskim ciljevima i prioritetima LRS: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Ako je odgovor DA  = 10 bodova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Ako je odgovor NE = 0 bodova</w:t>
            </w:r>
          </w:p>
        </w:tc>
        <w:tc>
          <w:tcPr>
            <w:tcW w:w="1360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10</w:t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457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  <w:tr>
        <w:trPr>
          <w:cantSplit w:val="false"/>
        </w:trPr>
        <w:tc>
          <w:tcPr>
            <w:tcW w:w="663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3.</w:t>
            </w:r>
          </w:p>
        </w:tc>
        <w:tc>
          <w:tcPr>
            <w:tcW w:w="1390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Inovativnost</w:t>
            </w:r>
          </w:p>
        </w:tc>
        <w:tc>
          <w:tcPr>
            <w:tcW w:w="3264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Projektna ideja zasniva se na revitalizaciji / uvođenju novih metoda rada u postojeće sustave rada:</w:t>
            </w:r>
          </w:p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Revitalizacija/promocija lokalne javno dostupne infrastrukture = 10 bodova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Uvođenje novih usluga u postojeće poslovne procese (diversifikacija poljoprivredne proizvodnje kroz nabavku nove opreme) = 9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Modernizacija tradicionalnih metoda, usluga i proizvoda u području (nabavka nove opreme za unapređenje postojećih usluga) = 8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Uvođenje projekata međunarodne i međuregionalne suradnje kroz inovativne animacijske procese = 7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Ako je odgovor na točke 1. – 4. NE = 0 bodova</w:t>
            </w:r>
          </w:p>
        </w:tc>
        <w:tc>
          <w:tcPr>
            <w:tcW w:w="1360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10</w:t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457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  <w:tr>
        <w:trPr>
          <w:cantSplit w:val="false"/>
        </w:trPr>
        <w:tc>
          <w:tcPr>
            <w:tcW w:w="663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4.</w:t>
            </w:r>
          </w:p>
        </w:tc>
        <w:tc>
          <w:tcPr>
            <w:tcW w:w="1390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Financiranje</w:t>
            </w:r>
          </w:p>
        </w:tc>
        <w:tc>
          <w:tcPr>
            <w:tcW w:w="3264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Projektna ideja ima zatvorenu financijsku konstrukciju (osigurano financiranje):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DA, 100% financiranje kroz LRS = 15 bodova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DA, 75% financiranje kroz LRS, 25% vlastito financiranje = 10 bodova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DA, 50% financiranje kroz LRS, 50% vlastita sredstva = 5 bodova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NEMA zatvorenu financijsku konstrukciju ili je vlastito financiranje manje od 50% za projekte koji moraju imati osigurano minimalno 50% vlastitog financiranja) = 0 bodova</w:t>
            </w:r>
          </w:p>
          <w:p>
            <w:pPr>
              <w:pStyle w:val="Normal"/>
              <w:spacing w:before="0" w:after="0"/>
              <w:rPr>
                <w:rFonts w:cs="" w:ascii="Trebuchet MS" w:hAnsi="Trebuchet MS"/>
                <w:b/>
                <w:i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i/>
                <w:sz w:val="22"/>
                <w:szCs w:val="22"/>
                <w:lang w:val="hr-HR" w:eastAsia="ja-JP"/>
              </w:rPr>
              <w:t>NAPOMENA: AKO PROJEKT NEMA ZATVORENU FINANCIJSKU KONSTRUKCIJU AUTOMATSKI SE ODBACUJE</w:t>
            </w:r>
          </w:p>
        </w:tc>
        <w:tc>
          <w:tcPr>
            <w:tcW w:w="1360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15</w:t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457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  <w:tr>
        <w:trPr>
          <w:cantSplit w:val="false"/>
        </w:trPr>
        <w:tc>
          <w:tcPr>
            <w:tcW w:w="663" w:type="dxa"/>
            <w:vMerge w:val="restart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5.</w:t>
            </w:r>
          </w:p>
        </w:tc>
        <w:tc>
          <w:tcPr>
            <w:tcW w:w="1390" w:type="dxa"/>
            <w:vMerge w:val="restart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  <w:t>Ujednačen razvoj cijelog područja</w:t>
            </w:r>
          </w:p>
        </w:tc>
        <w:tc>
          <w:tcPr>
            <w:tcW w:w="3264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Projektna ideja provodi se na potpomognutom području sukladno klasifikaciji prema Indeksu razvijenosti: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DA = 10 bodova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NE = 0 bodova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20</w:t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457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  <w:tr>
        <w:trPr>
          <w:cantSplit w:val="false"/>
        </w:trPr>
        <w:tc>
          <w:tcPr>
            <w:tcW w:w="663" w:type="dxa"/>
            <w:vMerge w:val="continue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0"/>
                <w:lang w:val="en-US" w:eastAsia="ja-JP"/>
              </w:rPr>
            </w:r>
          </w:p>
        </w:tc>
        <w:tc>
          <w:tcPr>
            <w:tcW w:w="1390" w:type="dxa"/>
            <w:vMerge w:val="continue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3264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Projekt generira nova radna mjesta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Više od 10 radnih mjesta = 10 bodova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Od 5 – 10 radnih mjesta = 5 bodova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Do 5 radnih mjesta = 3 boda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NEMA NOVIH RADNIH MJESTA = 0 bodova</w:t>
            </w:r>
          </w:p>
        </w:tc>
        <w:tc>
          <w:tcPr>
            <w:tcW w:w="1360" w:type="dxa"/>
            <w:gridSpan w:val="2"/>
            <w:vMerge w:val="continue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457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  <w:tr>
        <w:trPr>
          <w:cantSplit w:val="false"/>
        </w:trPr>
        <w:tc>
          <w:tcPr>
            <w:tcW w:w="663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6.</w:t>
            </w:r>
          </w:p>
        </w:tc>
        <w:tc>
          <w:tcPr>
            <w:tcW w:w="1390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  <w:t>ODRŽIVOST</w:t>
            </w:r>
          </w:p>
        </w:tc>
        <w:tc>
          <w:tcPr>
            <w:tcW w:w="3264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Projekt je održiv i nakon iskorištenja javnih sredstava (jasno ej opisana institucionalna, financijska održivost te podržavanje koncepta održivog razvoja):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DA = 5 bodova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NE = 0 boda</w:t>
            </w:r>
          </w:p>
        </w:tc>
        <w:tc>
          <w:tcPr>
            <w:tcW w:w="1360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5</w:t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457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  <w:tr>
        <w:trPr>
          <w:cantSplit w:val="false"/>
        </w:trPr>
        <w:tc>
          <w:tcPr>
            <w:tcW w:w="663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7.</w:t>
            </w:r>
          </w:p>
        </w:tc>
        <w:tc>
          <w:tcPr>
            <w:tcW w:w="1390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  <w:t>JEDNAKE MOGUĆNOSTI</w:t>
            </w:r>
          </w:p>
        </w:tc>
        <w:tc>
          <w:tcPr>
            <w:tcW w:w="3264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Ciljane skupine projektne ideje (nezaposleni, žene, mladi, osobe s invaliditetom, osobe treće životne dobi, socijalno osjetljive skupine, poljoprivrednici, mikro poduzetnici):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Prioritetna skupina uključuje 2 i više ciljanih skupina = 3 boda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Prioritetna skupina uključuje 1 ciljanu skupinu = 1 bod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PROJEKT NE UKLJUČUJE NAVEDENE CILJANE SKUPINE = 0</w:t>
            </w:r>
          </w:p>
        </w:tc>
        <w:tc>
          <w:tcPr>
            <w:tcW w:w="1360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3</w:t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457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  <w:tr>
        <w:trPr>
          <w:cantSplit w:val="false"/>
        </w:trPr>
        <w:tc>
          <w:tcPr>
            <w:tcW w:w="663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8.</w:t>
            </w:r>
          </w:p>
        </w:tc>
        <w:tc>
          <w:tcPr>
            <w:tcW w:w="1390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  <w:t>UTJECAJ NA OKOLIŠ</w:t>
            </w:r>
          </w:p>
        </w:tc>
        <w:tc>
          <w:tcPr>
            <w:tcW w:w="3264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Utjecaj na okoliš je: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Pozitivan = 3 boda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Neutralan = 1 bod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Negativan = 0 bodova</w:t>
            </w:r>
          </w:p>
        </w:tc>
        <w:tc>
          <w:tcPr>
            <w:tcW w:w="1360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3</w:t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457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  <w:tr>
        <w:trPr>
          <w:cantSplit w:val="false"/>
        </w:trPr>
        <w:tc>
          <w:tcPr>
            <w:tcW w:w="5318" w:type="dxa"/>
            <w:gridSpan w:val="4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DBE5F1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UKUPAN MAKSIMALAN BROJ BODOVA</w:t>
            </w:r>
          </w:p>
        </w:tc>
        <w:tc>
          <w:tcPr>
            <w:tcW w:w="1360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DBE5F1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sz w:val="22"/>
                <w:szCs w:val="22"/>
                <w:lang w:val="hr-HR" w:eastAsia="ja-JP"/>
              </w:rPr>
              <w:t>70</w:t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DBE5F1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456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DBE5F1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  <w:tr>
        <w:trPr>
          <w:cantSplit w:val="false"/>
        </w:trPr>
        <w:tc>
          <w:tcPr>
            <w:tcW w:w="9287" w:type="dxa"/>
            <w:gridSpan w:val="9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C0504D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  <w:t>SPECIFIČNI KRITERIJI</w:t>
            </w:r>
          </w:p>
        </w:tc>
      </w:tr>
      <w:tr>
        <w:trPr>
          <w:cantSplit w:val="false"/>
        </w:trPr>
        <w:tc>
          <w:tcPr>
            <w:tcW w:w="663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9.</w:t>
            </w:r>
          </w:p>
        </w:tc>
        <w:tc>
          <w:tcPr>
            <w:tcW w:w="4654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Projektna ideja doprinosi identitetu područja LAG-a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DA = 5 bodova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NE = 0 bodova</w:t>
            </w:r>
          </w:p>
        </w:tc>
        <w:tc>
          <w:tcPr>
            <w:tcW w:w="1360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5</w:t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457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  <w:tr>
        <w:trPr>
          <w:cantSplit w:val="false"/>
        </w:trPr>
        <w:tc>
          <w:tcPr>
            <w:tcW w:w="663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10.</w:t>
            </w:r>
          </w:p>
        </w:tc>
        <w:tc>
          <w:tcPr>
            <w:tcW w:w="4654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Projektna ideja doprinosi očuvanju prirodnih i tradicijskih resursa i vrijednosti LAG-a</w:t>
            </w:r>
          </w:p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DA = 5 bodova</w:t>
            </w:r>
          </w:p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NE = 0 bodova</w:t>
            </w:r>
          </w:p>
        </w:tc>
        <w:tc>
          <w:tcPr>
            <w:tcW w:w="1360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5</w:t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457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  <w:tr>
        <w:trPr>
          <w:cantSplit w:val="false"/>
        </w:trPr>
        <w:tc>
          <w:tcPr>
            <w:tcW w:w="663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11.</w:t>
            </w:r>
          </w:p>
        </w:tc>
        <w:tc>
          <w:tcPr>
            <w:tcW w:w="4654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Projektna ideja doprinosi povećanju kvalitete života na području LAG-a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DA = 5 bodova</w:t>
            </w:r>
          </w:p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NE = 0 bodova</w:t>
            </w:r>
          </w:p>
        </w:tc>
        <w:tc>
          <w:tcPr>
            <w:tcW w:w="1360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5</w:t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457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  <w:tr>
        <w:trPr>
          <w:cantSplit w:val="false"/>
        </w:trPr>
        <w:tc>
          <w:tcPr>
            <w:tcW w:w="5318" w:type="dxa"/>
            <w:gridSpan w:val="4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DBE5F1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sz w:val="22"/>
                <w:szCs w:val="22"/>
                <w:lang w:val="hr-HR" w:eastAsia="ja-JP"/>
              </w:rPr>
              <w:t>UKUPAN BROJ BODOVA PO SPECIFIČNIM KRITERIJIMA</w:t>
            </w:r>
          </w:p>
        </w:tc>
        <w:tc>
          <w:tcPr>
            <w:tcW w:w="1360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DBE5F1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sz w:val="22"/>
                <w:szCs w:val="22"/>
                <w:lang w:val="hr-HR" w:eastAsia="ja-JP"/>
              </w:rPr>
              <w:t>15</w:t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DBE5F1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  <w:tc>
          <w:tcPr>
            <w:tcW w:w="1456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DBE5F1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sz w:val="22"/>
                <w:szCs w:val="20"/>
                <w:lang w:val="en-US" w:eastAsia="ja-JP"/>
              </w:rPr>
            </w:r>
          </w:p>
        </w:tc>
      </w:tr>
      <w:tr>
        <w:trPr>
          <w:cantSplit w:val="false"/>
        </w:trPr>
        <w:tc>
          <w:tcPr>
            <w:tcW w:w="5318" w:type="dxa"/>
            <w:gridSpan w:val="4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C0504D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b/>
                <w:bCs/>
                <w:color w:val="FFFFFF"/>
                <w:sz w:val="22"/>
                <w:szCs w:val="22"/>
                <w:lang w:val="hr-HR" w:eastAsia="ja-JP"/>
              </w:rPr>
              <w:t>UKUPAN BROJ BODOVA = OCJENA KVALITETE I + SPECIFIČNI KRITERIJI</w:t>
            </w:r>
          </w:p>
        </w:tc>
        <w:tc>
          <w:tcPr>
            <w:tcW w:w="1360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C0504D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color w:val="FFFFFF"/>
                <w:sz w:val="22"/>
                <w:szCs w:val="22"/>
                <w:lang w:val="hr-HR" w:eastAsia="ja-JP"/>
              </w:rPr>
            </w:pPr>
            <w:r>
              <w:rPr>
                <w:rFonts w:cs="" w:ascii="Trebuchet MS" w:hAnsi="Trebuchet MS"/>
                <w:color w:val="FFFFFF"/>
                <w:sz w:val="22"/>
                <w:szCs w:val="22"/>
                <w:lang w:val="hr-HR" w:eastAsia="ja-JP"/>
              </w:rPr>
              <w:t>85</w:t>
            </w:r>
          </w:p>
        </w:tc>
        <w:tc>
          <w:tcPr>
            <w:tcW w:w="1153" w:type="dxa"/>
            <w:gridSpan w:val="2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C0504D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 w:ascii="Trebuchet MS" w:hAnsi="Trebuchet MS"/>
                <w:color w:val="FFFFFF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color w:val="FFFFFF"/>
                <w:sz w:val="22"/>
                <w:szCs w:val="20"/>
                <w:lang w:val="en-US" w:eastAsia="ja-JP"/>
              </w:rPr>
            </w:r>
          </w:p>
        </w:tc>
        <w:tc>
          <w:tcPr>
            <w:tcW w:w="1456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insideH w:val="single" w:sz="4" w:space="0" w:color="D99594"/>
              <w:right w:val="single" w:sz="4" w:space="0" w:color="D99594"/>
              <w:insideV w:val="single" w:sz="4" w:space="0" w:color="D99594"/>
            </w:tcBorders>
            <w:shd w:fill="C0504D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rFonts w:cs="" w:ascii="Trebuchet MS" w:hAnsi="Trebuchet MS"/>
                <w:color w:val="FFFFFF"/>
                <w:sz w:val="22"/>
                <w:szCs w:val="20"/>
                <w:lang w:val="en-US" w:eastAsia="ja-JP"/>
              </w:rPr>
            </w:pPr>
            <w:r>
              <w:rPr>
                <w:rFonts w:cs="" w:ascii="Trebuchet MS" w:hAnsi="Trebuchet MS"/>
                <w:color w:val="FFFFFF"/>
                <w:sz w:val="22"/>
                <w:szCs w:val="20"/>
                <w:lang w:val="en-US" w:eastAsia="ja-JP"/>
              </w:rPr>
            </w:r>
          </w:p>
        </w:tc>
      </w:tr>
    </w:tbl>
    <w:p>
      <w:pPr>
        <w:pStyle w:val="Normal"/>
        <w:spacing w:before="0" w:after="120"/>
        <w:rPr/>
      </w:pPr>
      <w:r>
        <w:rPr/>
      </w:r>
    </w:p>
    <w:sectPr>
      <w:type w:val="nextPage"/>
      <w:pgSz w:w="11906" w:h="16838"/>
      <w:pgMar w:left="1417" w:right="1417" w:header="0" w:top="993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rebuchet M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hr-H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a2d55"/>
    <w:pPr>
      <w:widowControl/>
      <w:suppressAutoHyphens w:val="true"/>
      <w:bidi w:val="0"/>
      <w:spacing w:lineRule="auto" w:line="264" w:before="0" w:after="120"/>
      <w:jc w:val="left"/>
    </w:pPr>
    <w:rPr>
      <w:rFonts w:cs="" w:ascii="Calibri" w:hAnsi="Calibri" w:eastAsia="SimSun"/>
      <w:color w:val="auto"/>
      <w:sz w:val="20"/>
      <w:szCs w:val="20"/>
      <w:lang w:val="en-US" w:eastAsia="ja-JP" w:bidi="ar-SA"/>
    </w:rPr>
  </w:style>
  <w:style w:type="paragraph" w:styleId="Stilnaslova1">
    <w:name w:val="Stil naslova 1"/>
    <w:uiPriority w:val="9"/>
    <w:qFormat/>
    <w:link w:val="Heading1Char"/>
    <w:rsid w:val="00fa2d55"/>
    <w:basedOn w:val="Normal"/>
    <w:next w:val="Normal"/>
    <w:pPr>
      <w:keepNext/>
      <w:keepLines/>
      <w:pBdr>
        <w:top w:val="nil"/>
        <w:left w:val="nil"/>
        <w:bottom w:val="single" w:sz="4" w:space="1" w:color="4F81BD"/>
        <w:right w:val="nil"/>
      </w:pBdr>
      <w:spacing w:lineRule="auto" w:line="240" w:before="400" w:after="40"/>
      <w:outlineLvl w:val="0"/>
    </w:pPr>
    <w:rPr>
      <w:rFonts w:ascii="Cambria" w:hAnsi="Cambria" w:cs=""/>
      <w:color w:val="4F81BD"/>
      <w:sz w:val="32"/>
      <w:szCs w:val="32"/>
    </w:rPr>
  </w:style>
  <w:style w:type="paragraph" w:styleId="Stilnaslova2">
    <w:name w:val="Stil naslova 2"/>
    <w:uiPriority w:val="9"/>
    <w:qFormat/>
    <w:unhideWhenUsed/>
    <w:link w:val="Heading2Char"/>
    <w:rsid w:val="00fa2d55"/>
    <w:basedOn w:val="Normal"/>
    <w:next w:val="Normal"/>
    <w:pPr>
      <w:keepNext/>
      <w:keepLines/>
      <w:spacing w:lineRule="auto" w:line="240" w:before="160" w:after="0"/>
      <w:outlineLvl w:val="1"/>
    </w:pPr>
    <w:rPr>
      <w:rFonts w:ascii="Cambria" w:hAnsi="Cambria" w:cs=""/>
      <w:color w:val="4F81BD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ing1Char" w:customStyle="1">
    <w:name w:val="Heading 1 Char"/>
    <w:uiPriority w:val="9"/>
    <w:link w:val="Heading1"/>
    <w:rsid w:val="00fa2d55"/>
    <w:basedOn w:val="DefaultParagraphFont"/>
    <w:rPr>
      <w:rFonts w:ascii="Cambria" w:hAnsi="Cambria" w:cs=""/>
      <w:color w:val="4F81BD"/>
      <w:sz w:val="32"/>
      <w:szCs w:val="32"/>
      <w:lang w:val="en-US" w:eastAsia="ja-JP"/>
    </w:rPr>
  </w:style>
  <w:style w:type="character" w:styleId="Heading2Char" w:customStyle="1">
    <w:name w:val="Heading 2 Char"/>
    <w:uiPriority w:val="9"/>
    <w:link w:val="Heading2"/>
    <w:rsid w:val="00fa2d55"/>
    <w:basedOn w:val="DefaultParagraphFont"/>
    <w:rPr>
      <w:rFonts w:ascii="Cambria" w:hAnsi="Cambria" w:cs=""/>
      <w:color w:val="4F81BD"/>
      <w:sz w:val="28"/>
      <w:szCs w:val="28"/>
      <w:lang w:val="en-US" w:eastAsia="ja-JP"/>
    </w:rPr>
  </w:style>
  <w:style w:type="character" w:styleId="NoSpacingChar" w:customStyle="1">
    <w:name w:val="No Spacing Char"/>
    <w:uiPriority w:val="1"/>
    <w:link w:val="NoSpacing"/>
    <w:rsid w:val="00fa2d55"/>
    <w:basedOn w:val="DefaultParagraphFont"/>
    <w:rPr>
      <w:rFonts w:cs=""/>
      <w:sz w:val="20"/>
      <w:szCs w:val="20"/>
      <w:lang w:val="en-US" w:eastAsia="ja-JP"/>
    </w:rPr>
  </w:style>
  <w:style w:type="character" w:styleId="Internetskapoveznica">
    <w:name w:val="Internetska poveznica"/>
    <w:uiPriority w:val="99"/>
    <w:unhideWhenUsed/>
    <w:rsid w:val="00fa2d55"/>
    <w:basedOn w:val="DefaultParagraphFont"/>
    <w:rPr>
      <w:color w:val="0000FF"/>
      <w:u w:val="single"/>
      <w:lang w:val="zxx" w:eastAsia="zxx" w:bidi="zxx"/>
    </w:rPr>
  </w:style>
  <w:style w:type="character" w:styleId="BalloonTextChar" w:customStyle="1">
    <w:name w:val="Balloon Text Char"/>
    <w:uiPriority w:val="99"/>
    <w:semiHidden/>
    <w:link w:val="BalloonText"/>
    <w:rsid w:val="00fa2d55"/>
    <w:basedOn w:val="DefaultParagraphFont"/>
    <w:rPr>
      <w:rFonts w:ascii="Tahoma" w:hAnsi="Tahoma" w:cs="Tahoma"/>
      <w:sz w:val="16"/>
      <w:szCs w:val="16"/>
      <w:lang w:val="en-US" w:eastAsia="ja-JP"/>
    </w:rPr>
  </w:style>
  <w:style w:type="paragraph" w:styleId="Stilnaslova">
    <w:name w:val="Stil naslova"/>
    <w:basedOn w:val="Normal"/>
    <w:next w:val="Tijeloteksta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Tijelo teksta"/>
    <w:basedOn w:val="Normal"/>
    <w:pPr>
      <w:spacing w:lineRule="auto" w:line="288" w:before="0" w:after="140"/>
    </w:pPr>
    <w:rPr/>
  </w:style>
  <w:style w:type="paragraph" w:styleId="Popis">
    <w:name w:val="Popis"/>
    <w:basedOn w:val="Tijeloteksta"/>
    <w:pPr/>
    <w:rPr>
      <w:rFonts w:cs="Arial"/>
    </w:rPr>
  </w:style>
  <w:style w:type="paragraph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Arial"/>
    </w:rPr>
  </w:style>
  <w:style w:type="paragraph" w:styleId="NoSpacing">
    <w:name w:val="No Spacing"/>
    <w:uiPriority w:val="1"/>
    <w:qFormat/>
    <w:link w:val="NoSpacingChar"/>
    <w:rsid w:val="00fa2d55"/>
    <w:pPr>
      <w:widowControl/>
      <w:suppressAutoHyphens w:val="true"/>
      <w:bidi w:val="0"/>
      <w:spacing w:lineRule="auto" w:line="240" w:before="0" w:after="0"/>
      <w:jc w:val="left"/>
    </w:pPr>
    <w:rPr>
      <w:rFonts w:cs="" w:ascii="Calibri" w:hAnsi="Calibri" w:eastAsia="SimSun"/>
      <w:color w:val="auto"/>
      <w:sz w:val="20"/>
      <w:szCs w:val="20"/>
      <w:lang w:val="en-US" w:eastAsia="ja-JP" w:bidi="ar-SA"/>
    </w:rPr>
  </w:style>
  <w:style w:type="paragraph" w:styleId="ListParagraph">
    <w:name w:val="List Paragraph"/>
    <w:uiPriority w:val="34"/>
    <w:qFormat/>
    <w:rsid w:val="00fa2d55"/>
    <w:basedOn w:val="Normal"/>
    <w:pPr>
      <w:spacing w:before="0" w:after="12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link w:val="BalloonTextChar"/>
    <w:rsid w:val="00fa2d55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reetke4-isticanje21">
    <w:name w:val="Tablica rešetke 4 - isticanje 21"/>
    <w:basedOn w:val="TableNormal"/>
    <w:uiPriority w:val="49"/>
    <w:rsid w:val="00fa2d55"/>
    <w:pPr>
      <w:spacing w:line="240" w:lineRule="auto" w:after="0"/>
    </w:pPr>
    <w:rPr>
      <w:rFonts w:eastAsiaTheme="minorEastAsia"/>
      <w:lang w:eastAsia="ja-JP" w:val="en-US"/>
      <w:sz w:val="20"/>
      <w:szCs w:val="20"/>
    </w:rPr>
    <w:tblPr>
      <w:tblStyleRowBandSize w:val="1"/>
      <w:tblStyleColBandSize w:val="1"/>
      <w:tblInd w:type="dxa" w:w="0"/>
      <w:tblBorders>
        <w:top w:space="0" w:sz="4" w:themeTint="99" w:themeColor="accent2" w:color="D99594" w:val="single"/>
        <w:left w:space="0" w:sz="4" w:themeTint="99" w:themeColor="accent2" w:color="D99594" w:val="single"/>
        <w:bottom w:space="0" w:sz="4" w:themeTint="99" w:themeColor="accent2" w:color="D99594" w:val="single"/>
        <w:right w:space="0" w:sz="4" w:themeTint="99" w:themeColor="accent2" w:color="D99594" w:val="single"/>
        <w:insideH w:space="0" w:sz="4" w:themeTint="99" w:themeColor="accent2" w:color="D99594" w:val="single"/>
        <w:insideV w:space="0" w:sz="4" w:themeTint="99" w:themeColor="accent2" w:color="D99594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themeColor="background1" w:val="FFFFFF"/>
      </w:rPr>
      <w:tblPr/>
      <w:tcPr>
        <w:tcBorders>
          <w:top w:space="0" w:sz="4" w:themeColor="accent2" w:color="C0504D" w:val="single"/>
          <w:left w:space="0" w:sz="4" w:themeColor="accent2" w:color="C0504D" w:val="single"/>
          <w:bottom w:space="0" w:sz="4" w:themeColor="accent2" w:color="C0504D" w:val="single"/>
          <w:right w:space="0" w:sz="4" w:themeColor="accent2" w:color="C0504D" w:val="single"/>
          <w:insideH w:val="nil"/>
          <w:insideV w:val="nil"/>
        </w:tcBorders>
        <w:shd w:themeFill="accent2" w:fill="C0504D" w:color="auto" w:val="clear"/>
      </w:tcPr>
    </w:tblStylePr>
    <w:tblStylePr w:type="lastRow">
      <w:rPr>
        <w:b/>
        <w:bCs/>
      </w:rPr>
      <w:tblPr/>
      <w:tcPr>
        <w:tcBorders>
          <w:top w:space="0" w:sz="4" w:themeColor="accent2" w:color="C0504D" w:val="doub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33" w:themeFill="accent2" w:fill="F2DBDB" w:color="auto" w:val="clear"/>
      </w:tcPr>
    </w:tblStylePr>
    <w:tblStylePr w:type="band1Horz">
      <w:tblPr/>
      <w:tcPr>
        <w:shd w:themeFillTint="33" w:themeFill="accent2" w:fill="F2DBDB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yperlink" Target="mailto:lag.zagorje.sutla@gmail.com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2016-01-17T16:15:00Z</dcterms:created>
  <dc:creator>Tajuska</dc:creator>
  <dc:language>hr-HR</dc:language>
  <cp:lastModifiedBy>Tajuska</cp:lastModifiedBy>
  <cp:lastPrinted>2015-12-16T12:04:00Z</cp:lastPrinted>
  <dcterms:modified xsi:type="dcterms:W3CDTF">2016-01-17T16:19:00Z</dcterms:modified>
  <cp:revision>3</cp:revision>
</cp:coreProperties>
</file>