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0" w:rsidRPr="005D65E1" w:rsidRDefault="00997FE0" w:rsidP="00B1127A">
      <w:pPr>
        <w:spacing w:after="0"/>
        <w:jc w:val="center"/>
        <w:rPr>
          <w:rFonts w:ascii="Arial" w:hAnsi="Arial" w:cs="Arial"/>
          <w:b/>
          <w:i/>
          <w:sz w:val="20"/>
          <w:szCs w:val="20"/>
        </w:rPr>
      </w:pPr>
    </w:p>
    <w:p w:rsidR="00350767" w:rsidRPr="005D65E1" w:rsidRDefault="00B1127A" w:rsidP="00B1127A">
      <w:pPr>
        <w:spacing w:after="0"/>
        <w:jc w:val="center"/>
        <w:rPr>
          <w:rFonts w:ascii="Arial" w:hAnsi="Arial" w:cs="Arial"/>
          <w:b/>
          <w:i/>
          <w:sz w:val="20"/>
          <w:szCs w:val="20"/>
        </w:rPr>
      </w:pPr>
      <w:r w:rsidRPr="005D65E1">
        <w:rPr>
          <w:rFonts w:ascii="Arial" w:hAnsi="Arial" w:cs="Arial"/>
          <w:b/>
          <w:i/>
          <w:sz w:val="20"/>
          <w:szCs w:val="20"/>
        </w:rPr>
        <w:t xml:space="preserve">IZVJEŠĆE O STANJU JAVNE RASVJETE </w:t>
      </w:r>
    </w:p>
    <w:p w:rsidR="00B1127A" w:rsidRPr="005D65E1" w:rsidRDefault="00B1127A" w:rsidP="00B1127A">
      <w:pPr>
        <w:spacing w:after="0"/>
        <w:jc w:val="center"/>
        <w:rPr>
          <w:rFonts w:ascii="Arial" w:hAnsi="Arial" w:cs="Arial"/>
          <w:b/>
          <w:i/>
          <w:sz w:val="20"/>
          <w:szCs w:val="20"/>
        </w:rPr>
      </w:pPr>
      <w:r w:rsidRPr="005D65E1">
        <w:rPr>
          <w:rFonts w:ascii="Arial" w:hAnsi="Arial" w:cs="Arial"/>
          <w:b/>
          <w:i/>
          <w:sz w:val="20"/>
          <w:szCs w:val="20"/>
        </w:rPr>
        <w:t>GRADA PREGRADE</w:t>
      </w:r>
    </w:p>
    <w:p w:rsidR="00B1127A" w:rsidRPr="005D65E1" w:rsidRDefault="00B1127A" w:rsidP="00B1127A">
      <w:pPr>
        <w:spacing w:after="0"/>
        <w:jc w:val="center"/>
        <w:rPr>
          <w:rFonts w:ascii="Arial" w:hAnsi="Arial" w:cs="Arial"/>
          <w:b/>
          <w:i/>
          <w:sz w:val="20"/>
          <w:szCs w:val="20"/>
        </w:rPr>
      </w:pPr>
      <w:r w:rsidRPr="005D65E1">
        <w:rPr>
          <w:rFonts w:ascii="Arial" w:hAnsi="Arial" w:cs="Arial"/>
          <w:b/>
          <w:i/>
          <w:sz w:val="20"/>
          <w:szCs w:val="20"/>
        </w:rPr>
        <w:t xml:space="preserve">(razdoblje </w:t>
      </w:r>
      <w:r w:rsidR="00F17EE2" w:rsidRPr="005D65E1">
        <w:rPr>
          <w:rFonts w:ascii="Arial" w:hAnsi="Arial" w:cs="Arial"/>
          <w:b/>
          <w:i/>
          <w:sz w:val="20"/>
          <w:szCs w:val="20"/>
        </w:rPr>
        <w:t>01.12.</w:t>
      </w:r>
      <w:r w:rsidRPr="005D65E1">
        <w:rPr>
          <w:rFonts w:ascii="Arial" w:hAnsi="Arial" w:cs="Arial"/>
          <w:b/>
          <w:i/>
          <w:sz w:val="20"/>
          <w:szCs w:val="20"/>
        </w:rPr>
        <w:t>2006.-</w:t>
      </w:r>
      <w:r w:rsidR="00F17EE2" w:rsidRPr="005D65E1">
        <w:rPr>
          <w:rFonts w:ascii="Arial" w:hAnsi="Arial" w:cs="Arial"/>
          <w:b/>
          <w:i/>
          <w:sz w:val="20"/>
          <w:szCs w:val="20"/>
        </w:rPr>
        <w:t>3</w:t>
      </w:r>
      <w:r w:rsidR="00B428DF">
        <w:rPr>
          <w:rFonts w:ascii="Arial" w:hAnsi="Arial" w:cs="Arial"/>
          <w:b/>
          <w:i/>
          <w:sz w:val="20"/>
          <w:szCs w:val="20"/>
        </w:rPr>
        <w:t>0</w:t>
      </w:r>
      <w:r w:rsidR="00F17EE2" w:rsidRPr="005D65E1">
        <w:rPr>
          <w:rFonts w:ascii="Arial" w:hAnsi="Arial" w:cs="Arial"/>
          <w:b/>
          <w:i/>
          <w:sz w:val="20"/>
          <w:szCs w:val="20"/>
        </w:rPr>
        <w:t>.</w:t>
      </w:r>
      <w:r w:rsidR="00B428DF">
        <w:rPr>
          <w:rFonts w:ascii="Arial" w:hAnsi="Arial" w:cs="Arial"/>
          <w:b/>
          <w:i/>
          <w:sz w:val="20"/>
          <w:szCs w:val="20"/>
        </w:rPr>
        <w:t>09</w:t>
      </w:r>
      <w:r w:rsidR="00F17EE2" w:rsidRPr="005D65E1">
        <w:rPr>
          <w:rFonts w:ascii="Arial" w:hAnsi="Arial" w:cs="Arial"/>
          <w:b/>
          <w:i/>
          <w:sz w:val="20"/>
          <w:szCs w:val="20"/>
        </w:rPr>
        <w:t>.</w:t>
      </w:r>
      <w:r w:rsidRPr="005D65E1">
        <w:rPr>
          <w:rFonts w:ascii="Arial" w:hAnsi="Arial" w:cs="Arial"/>
          <w:b/>
          <w:i/>
          <w:sz w:val="20"/>
          <w:szCs w:val="20"/>
        </w:rPr>
        <w:t>201</w:t>
      </w:r>
      <w:r w:rsidR="00B428DF">
        <w:rPr>
          <w:rFonts w:ascii="Arial" w:hAnsi="Arial" w:cs="Arial"/>
          <w:b/>
          <w:i/>
          <w:sz w:val="20"/>
          <w:szCs w:val="20"/>
        </w:rPr>
        <w:t>6</w:t>
      </w:r>
      <w:r w:rsidRPr="005D65E1">
        <w:rPr>
          <w:rFonts w:ascii="Arial" w:hAnsi="Arial" w:cs="Arial"/>
          <w:b/>
          <w:i/>
          <w:sz w:val="20"/>
          <w:szCs w:val="20"/>
        </w:rPr>
        <w:t>.)</w:t>
      </w:r>
    </w:p>
    <w:p w:rsidR="00B1127A" w:rsidRDefault="00B1127A" w:rsidP="00B1127A">
      <w:pPr>
        <w:spacing w:after="0"/>
        <w:jc w:val="both"/>
        <w:rPr>
          <w:rFonts w:ascii="Arial" w:hAnsi="Arial" w:cs="Arial"/>
          <w:sz w:val="20"/>
          <w:szCs w:val="20"/>
        </w:rPr>
      </w:pPr>
    </w:p>
    <w:p w:rsidR="00444A41" w:rsidRDefault="00444A41" w:rsidP="00B1127A">
      <w:pPr>
        <w:spacing w:after="0"/>
        <w:jc w:val="both"/>
        <w:rPr>
          <w:rFonts w:ascii="Arial" w:hAnsi="Arial" w:cs="Arial"/>
          <w:sz w:val="20"/>
          <w:szCs w:val="20"/>
        </w:rPr>
      </w:pPr>
    </w:p>
    <w:p w:rsidR="00444A41" w:rsidRPr="00444A41" w:rsidRDefault="00444A41" w:rsidP="00444A41">
      <w:pPr>
        <w:pStyle w:val="Odlomakpopisa"/>
        <w:numPr>
          <w:ilvl w:val="0"/>
          <w:numId w:val="6"/>
        </w:numPr>
        <w:spacing w:after="0"/>
        <w:jc w:val="both"/>
        <w:rPr>
          <w:rFonts w:ascii="Arial" w:hAnsi="Arial" w:cs="Arial"/>
          <w:b/>
          <w:sz w:val="20"/>
          <w:szCs w:val="20"/>
          <w:u w:val="single"/>
        </w:rPr>
      </w:pPr>
      <w:r w:rsidRPr="00444A41">
        <w:rPr>
          <w:rFonts w:ascii="Arial" w:hAnsi="Arial" w:cs="Arial"/>
          <w:b/>
          <w:sz w:val="20"/>
          <w:szCs w:val="20"/>
          <w:u w:val="single"/>
        </w:rPr>
        <w:t xml:space="preserve">Projekt "Rekonstrukcija javne rasvjete sa ciljem povećanja energetske učinkovitosti i </w:t>
      </w:r>
    </w:p>
    <w:p w:rsidR="00444A41" w:rsidRPr="00444A41" w:rsidRDefault="00444A41" w:rsidP="00444A41">
      <w:pPr>
        <w:pStyle w:val="Odlomakpopisa"/>
        <w:spacing w:after="0"/>
        <w:jc w:val="both"/>
        <w:rPr>
          <w:rFonts w:ascii="Arial" w:hAnsi="Arial" w:cs="Arial"/>
          <w:b/>
          <w:sz w:val="20"/>
          <w:szCs w:val="20"/>
          <w:u w:val="single"/>
        </w:rPr>
      </w:pPr>
      <w:r w:rsidRPr="00444A41">
        <w:rPr>
          <w:rFonts w:ascii="Arial" w:hAnsi="Arial" w:cs="Arial"/>
          <w:b/>
          <w:sz w:val="20"/>
          <w:szCs w:val="20"/>
          <w:u w:val="single"/>
        </w:rPr>
        <w:t xml:space="preserve">smanjenja svjetlosnog zagađenja" </w:t>
      </w:r>
    </w:p>
    <w:p w:rsidR="00444A41" w:rsidRDefault="00444A41" w:rsidP="00444A41">
      <w:pPr>
        <w:spacing w:after="0"/>
        <w:ind w:left="360"/>
        <w:jc w:val="both"/>
        <w:rPr>
          <w:rFonts w:ascii="Arial" w:hAnsi="Arial" w:cs="Arial"/>
          <w:sz w:val="20"/>
          <w:szCs w:val="20"/>
        </w:rPr>
      </w:pPr>
    </w:p>
    <w:p w:rsidR="005D65E1" w:rsidRDefault="005D65E1" w:rsidP="00444A41">
      <w:pPr>
        <w:spacing w:after="0"/>
        <w:ind w:left="360"/>
        <w:jc w:val="both"/>
        <w:rPr>
          <w:rFonts w:ascii="Arial" w:hAnsi="Arial" w:cs="Arial"/>
          <w:sz w:val="20"/>
          <w:szCs w:val="20"/>
        </w:rPr>
      </w:pPr>
    </w:p>
    <w:p w:rsidR="00444A41" w:rsidRDefault="00444A41" w:rsidP="00444A41">
      <w:pPr>
        <w:spacing w:after="0"/>
        <w:jc w:val="both"/>
        <w:rPr>
          <w:rFonts w:ascii="Arial" w:hAnsi="Arial" w:cs="Arial"/>
          <w:sz w:val="20"/>
          <w:szCs w:val="20"/>
        </w:rPr>
      </w:pPr>
      <w:r>
        <w:rPr>
          <w:rFonts w:ascii="Arial" w:hAnsi="Arial" w:cs="Arial"/>
          <w:sz w:val="20"/>
          <w:szCs w:val="20"/>
        </w:rPr>
        <w:t>Projekt je započeo potpisivanjem ugovora sa Fondom za zaštitu okoliša i energetske učinkovitosti (u daljnjem tekstu: Fond)dana 18.06.2008. godine na ugovorni iznos od 4.229.611,78 kn (sa PDV-om) i rokom dovršetka do konca svinja 2009. godine, pri čemu Fond sudjeluje sa financijskom pomoći od 40% (1.691.844,71 kn) od ukupne investicije, dok je preostalih 60% investicije obaveza Grada.</w:t>
      </w:r>
    </w:p>
    <w:p w:rsidR="002F2E0C" w:rsidRDefault="002F2E0C" w:rsidP="00C57996">
      <w:pPr>
        <w:spacing w:after="0"/>
        <w:jc w:val="both"/>
        <w:rPr>
          <w:rFonts w:ascii="Arial" w:hAnsi="Arial" w:cs="Arial"/>
          <w:sz w:val="20"/>
          <w:szCs w:val="20"/>
        </w:rPr>
      </w:pPr>
    </w:p>
    <w:p w:rsidR="00C57996" w:rsidRDefault="00C57996" w:rsidP="00C57996">
      <w:pPr>
        <w:spacing w:after="0"/>
        <w:jc w:val="both"/>
        <w:rPr>
          <w:rFonts w:ascii="Arial" w:hAnsi="Arial" w:cs="Arial"/>
          <w:sz w:val="20"/>
          <w:szCs w:val="20"/>
        </w:rPr>
      </w:pPr>
      <w:r>
        <w:rPr>
          <w:rFonts w:ascii="Arial" w:hAnsi="Arial" w:cs="Arial"/>
          <w:sz w:val="20"/>
          <w:szCs w:val="20"/>
        </w:rPr>
        <w:t>Grad je povjerio izvođenje projekta trg.društvu "Niskogradnja" d.o.o. ugovorom od 10.06.2008., koji je, na osnovu gore navedenog ugovora sa Fondom raspisalo postupak javne nabave 31.07.2008., nakon čega je odabran najpovoljniji ponuđač, trg.društvo "Dekor" Zabok, s kojim je potpisan ugovor 15.09.2008. na iznos od 4.488.574,23 kn netto (5.476.060,56 kn sa PDV-om).</w:t>
      </w:r>
    </w:p>
    <w:p w:rsidR="00543D40" w:rsidRDefault="00543D40" w:rsidP="00543D40">
      <w:pPr>
        <w:spacing w:after="0"/>
        <w:jc w:val="both"/>
        <w:rPr>
          <w:rFonts w:ascii="Arial" w:hAnsi="Arial" w:cs="Arial"/>
          <w:sz w:val="20"/>
          <w:szCs w:val="20"/>
        </w:rPr>
      </w:pPr>
      <w:r>
        <w:rPr>
          <w:rFonts w:ascii="Arial" w:hAnsi="Arial" w:cs="Arial"/>
          <w:sz w:val="20"/>
          <w:szCs w:val="20"/>
        </w:rPr>
        <w:t>Dana 10.10.2008. potpisan je I.dodatak ugovoru gdje se iznos investicije povećava na 4.318.420,23 kn bez pdv-a ,</w:t>
      </w:r>
    </w:p>
    <w:p w:rsidR="00543D40" w:rsidRDefault="00543D40" w:rsidP="00543D40">
      <w:pPr>
        <w:spacing w:after="0"/>
        <w:jc w:val="both"/>
        <w:rPr>
          <w:rFonts w:ascii="Arial" w:hAnsi="Arial" w:cs="Arial"/>
          <w:sz w:val="20"/>
          <w:szCs w:val="20"/>
        </w:rPr>
      </w:pPr>
      <w:r>
        <w:rPr>
          <w:rFonts w:ascii="Arial" w:hAnsi="Arial" w:cs="Arial"/>
          <w:sz w:val="20"/>
          <w:szCs w:val="20"/>
        </w:rPr>
        <w:t>što je 39,18% udjela Fonda.</w:t>
      </w:r>
    </w:p>
    <w:p w:rsidR="002F2E0C" w:rsidRDefault="002F2E0C" w:rsidP="00C57996">
      <w:pPr>
        <w:spacing w:after="0"/>
        <w:jc w:val="both"/>
        <w:rPr>
          <w:rFonts w:ascii="Arial" w:hAnsi="Arial" w:cs="Arial"/>
          <w:sz w:val="20"/>
          <w:szCs w:val="20"/>
        </w:rPr>
      </w:pPr>
    </w:p>
    <w:p w:rsidR="00C57996" w:rsidRDefault="00C57996" w:rsidP="00C57996">
      <w:pPr>
        <w:spacing w:after="0"/>
        <w:jc w:val="both"/>
        <w:rPr>
          <w:rFonts w:ascii="Arial" w:hAnsi="Arial" w:cs="Arial"/>
          <w:sz w:val="20"/>
          <w:szCs w:val="20"/>
        </w:rPr>
      </w:pPr>
      <w:r>
        <w:rPr>
          <w:rFonts w:ascii="Arial" w:hAnsi="Arial" w:cs="Arial"/>
          <w:sz w:val="20"/>
          <w:szCs w:val="20"/>
        </w:rPr>
        <w:t>Fond je uplatio cjelokupan ugovoreni iznos, te je zaključno sa 16.06.2010. realizirano prema specifikaciji :</w:t>
      </w:r>
    </w:p>
    <w:p w:rsidR="00C57996" w:rsidRDefault="00C57996" w:rsidP="00C57996">
      <w:pPr>
        <w:spacing w:after="0"/>
        <w:jc w:val="both"/>
        <w:rPr>
          <w:rFonts w:ascii="Arial" w:hAnsi="Arial" w:cs="Arial"/>
          <w:sz w:val="20"/>
          <w:szCs w:val="20"/>
        </w:rPr>
      </w:pPr>
    </w:p>
    <w:bookmarkStart w:id="0" w:name="_MON_1484216876"/>
    <w:bookmarkEnd w:id="0"/>
    <w:p w:rsidR="00C57996" w:rsidRDefault="00C57996" w:rsidP="00C57996">
      <w:pPr>
        <w:spacing w:after="0"/>
        <w:jc w:val="center"/>
        <w:rPr>
          <w:rFonts w:ascii="Arial" w:hAnsi="Arial" w:cs="Arial"/>
          <w:sz w:val="20"/>
          <w:szCs w:val="20"/>
        </w:rPr>
      </w:pPr>
      <w:r w:rsidRPr="00A00A42">
        <w:rPr>
          <w:rFonts w:ascii="Arial" w:hAnsi="Arial" w:cs="Arial"/>
          <w:sz w:val="20"/>
          <w:szCs w:val="20"/>
        </w:rPr>
        <w:object w:dxaOrig="8282" w:dyaOrig="4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85pt;height:204.1pt" o:ole="">
            <v:imagedata r:id="rId8" o:title=""/>
          </v:shape>
          <o:OLEObject Type="Embed" ProgID="Excel.Sheet.12" ShapeID="_x0000_i1025" DrawAspect="Content" ObjectID="_1555914644" r:id="rId9"/>
        </w:object>
      </w:r>
    </w:p>
    <w:p w:rsidR="00C57996" w:rsidRDefault="00C57996" w:rsidP="00444A41">
      <w:pPr>
        <w:spacing w:after="0"/>
        <w:jc w:val="both"/>
        <w:rPr>
          <w:rFonts w:ascii="Arial" w:hAnsi="Arial" w:cs="Arial"/>
          <w:sz w:val="20"/>
          <w:szCs w:val="20"/>
        </w:rPr>
      </w:pPr>
    </w:p>
    <w:p w:rsidR="00543D40" w:rsidRPr="00444A41" w:rsidRDefault="00543D40" w:rsidP="00543D40">
      <w:pPr>
        <w:spacing w:after="0"/>
        <w:jc w:val="both"/>
        <w:rPr>
          <w:rFonts w:ascii="Arial" w:hAnsi="Arial" w:cs="Arial"/>
          <w:sz w:val="20"/>
          <w:szCs w:val="20"/>
        </w:rPr>
      </w:pPr>
      <w:r>
        <w:rPr>
          <w:rFonts w:ascii="Arial" w:hAnsi="Arial" w:cs="Arial"/>
          <w:sz w:val="20"/>
          <w:szCs w:val="20"/>
        </w:rPr>
        <w:t>Dana 26.02.2010. potpisan je II.dodatak ugovoru gdje je rok za realizaciju projekta pomaknut na konac 2011. godine</w:t>
      </w:r>
    </w:p>
    <w:p w:rsidR="00543D40" w:rsidRDefault="00543D40" w:rsidP="00444A41">
      <w:pPr>
        <w:spacing w:after="0"/>
        <w:jc w:val="both"/>
        <w:rPr>
          <w:rFonts w:ascii="Arial" w:hAnsi="Arial" w:cs="Arial"/>
          <w:sz w:val="20"/>
          <w:szCs w:val="20"/>
        </w:rPr>
      </w:pPr>
      <w:r>
        <w:rPr>
          <w:rFonts w:ascii="Arial" w:hAnsi="Arial" w:cs="Arial"/>
          <w:sz w:val="20"/>
          <w:szCs w:val="20"/>
        </w:rPr>
        <w:t>Međutim, nije bilo daljnjih radova do sredine 2013. godine (predizborno doba), kada je projekt ponovno pokrenut.</w:t>
      </w:r>
    </w:p>
    <w:p w:rsidR="002F2E0C" w:rsidRDefault="00543D40" w:rsidP="00444A41">
      <w:pPr>
        <w:spacing w:after="0"/>
        <w:jc w:val="both"/>
        <w:rPr>
          <w:rFonts w:ascii="Arial" w:hAnsi="Arial" w:cs="Arial"/>
          <w:sz w:val="20"/>
          <w:szCs w:val="20"/>
        </w:rPr>
      </w:pPr>
      <w:r>
        <w:rPr>
          <w:rFonts w:ascii="Arial" w:hAnsi="Arial" w:cs="Arial"/>
          <w:sz w:val="20"/>
          <w:szCs w:val="20"/>
        </w:rPr>
        <w:t xml:space="preserve">Do tog perioda Fond je učestalo imao primjedbe na način i dinamiku izvođenja radova, te na nesudjelovanje Grada sa svojim dijelom financijskih obaveza. Stoga je Fond zaprijetio raskidom ugovora i </w:t>
      </w:r>
      <w:r w:rsidR="00517313">
        <w:rPr>
          <w:rFonts w:ascii="Arial" w:hAnsi="Arial" w:cs="Arial"/>
          <w:sz w:val="20"/>
          <w:szCs w:val="20"/>
        </w:rPr>
        <w:t>zahtjevom za povrat c</w:t>
      </w:r>
      <w:r w:rsidR="002F2E0C">
        <w:rPr>
          <w:rFonts w:ascii="Arial" w:hAnsi="Arial" w:cs="Arial"/>
          <w:sz w:val="20"/>
          <w:szCs w:val="20"/>
        </w:rPr>
        <w:t>jelokupnog</w:t>
      </w:r>
    </w:p>
    <w:p w:rsidR="00543D40" w:rsidRDefault="002F2E0C" w:rsidP="00444A41">
      <w:pPr>
        <w:spacing w:after="0"/>
        <w:jc w:val="both"/>
        <w:rPr>
          <w:rFonts w:ascii="Arial" w:hAnsi="Arial" w:cs="Arial"/>
          <w:sz w:val="20"/>
          <w:szCs w:val="20"/>
        </w:rPr>
      </w:pPr>
      <w:r>
        <w:rPr>
          <w:rFonts w:ascii="Arial" w:hAnsi="Arial" w:cs="Arial"/>
          <w:sz w:val="20"/>
          <w:szCs w:val="20"/>
        </w:rPr>
        <w:t xml:space="preserve">uplaćenog iznosa.  </w:t>
      </w:r>
    </w:p>
    <w:p w:rsidR="002F2E0C" w:rsidRDefault="002F2E0C" w:rsidP="00444A41">
      <w:pPr>
        <w:spacing w:after="0"/>
        <w:jc w:val="both"/>
        <w:rPr>
          <w:rFonts w:ascii="Arial" w:hAnsi="Arial" w:cs="Arial"/>
          <w:sz w:val="20"/>
          <w:szCs w:val="20"/>
        </w:rPr>
      </w:pPr>
    </w:p>
    <w:p w:rsidR="002F2E0C" w:rsidRDefault="00543D40" w:rsidP="00444A41">
      <w:pPr>
        <w:spacing w:after="0"/>
        <w:jc w:val="both"/>
        <w:rPr>
          <w:rFonts w:ascii="Arial" w:hAnsi="Arial" w:cs="Arial"/>
          <w:sz w:val="20"/>
          <w:szCs w:val="20"/>
        </w:rPr>
      </w:pPr>
      <w:r>
        <w:rPr>
          <w:rFonts w:ascii="Arial" w:hAnsi="Arial" w:cs="Arial"/>
          <w:sz w:val="20"/>
          <w:szCs w:val="20"/>
        </w:rPr>
        <w:t>Dolaskom nove gradske uprave</w:t>
      </w:r>
      <w:r w:rsidR="00517313">
        <w:rPr>
          <w:rFonts w:ascii="Arial" w:hAnsi="Arial" w:cs="Arial"/>
          <w:sz w:val="20"/>
          <w:szCs w:val="20"/>
        </w:rPr>
        <w:t xml:space="preserve"> u 06.mj.2013</w:t>
      </w:r>
      <w:r>
        <w:rPr>
          <w:rFonts w:ascii="Arial" w:hAnsi="Arial" w:cs="Arial"/>
          <w:sz w:val="20"/>
          <w:szCs w:val="20"/>
        </w:rPr>
        <w:t>, te analizom stanja i trenutnom situacijom, pokrenuti su razgovori sa Fondom.</w:t>
      </w:r>
      <w:r w:rsidR="00FC2F32">
        <w:rPr>
          <w:rFonts w:ascii="Arial" w:hAnsi="Arial" w:cs="Arial"/>
          <w:sz w:val="20"/>
          <w:szCs w:val="20"/>
        </w:rPr>
        <w:t>I</w:t>
      </w:r>
      <w:r>
        <w:rPr>
          <w:rFonts w:ascii="Arial" w:hAnsi="Arial" w:cs="Arial"/>
          <w:sz w:val="20"/>
          <w:szCs w:val="20"/>
        </w:rPr>
        <w:t>nicira</w:t>
      </w:r>
      <w:r w:rsidR="00FC2F32">
        <w:rPr>
          <w:rFonts w:ascii="Arial" w:hAnsi="Arial" w:cs="Arial"/>
          <w:sz w:val="20"/>
          <w:szCs w:val="20"/>
        </w:rPr>
        <w:t>no</w:t>
      </w:r>
      <w:r w:rsidR="00517313">
        <w:rPr>
          <w:rFonts w:ascii="Arial" w:hAnsi="Arial" w:cs="Arial"/>
          <w:sz w:val="20"/>
          <w:szCs w:val="20"/>
        </w:rPr>
        <w:t xml:space="preserve"> je nekoliko krugova razgovora,</w:t>
      </w:r>
      <w:r>
        <w:rPr>
          <w:rFonts w:ascii="Arial" w:hAnsi="Arial" w:cs="Arial"/>
          <w:sz w:val="20"/>
          <w:szCs w:val="20"/>
        </w:rPr>
        <w:t xml:space="preserve"> gdje je </w:t>
      </w:r>
      <w:r w:rsidR="00FC2F32">
        <w:rPr>
          <w:rFonts w:ascii="Arial" w:hAnsi="Arial" w:cs="Arial"/>
          <w:sz w:val="20"/>
          <w:szCs w:val="20"/>
        </w:rPr>
        <w:t xml:space="preserve">gradska uprava </w:t>
      </w:r>
      <w:r>
        <w:rPr>
          <w:rFonts w:ascii="Arial" w:hAnsi="Arial" w:cs="Arial"/>
          <w:sz w:val="20"/>
          <w:szCs w:val="20"/>
        </w:rPr>
        <w:t>pokaza</w:t>
      </w:r>
      <w:r w:rsidR="002F2E0C">
        <w:rPr>
          <w:rFonts w:ascii="Arial" w:hAnsi="Arial" w:cs="Arial"/>
          <w:sz w:val="20"/>
          <w:szCs w:val="20"/>
        </w:rPr>
        <w:t>l</w:t>
      </w:r>
      <w:r>
        <w:rPr>
          <w:rFonts w:ascii="Arial" w:hAnsi="Arial" w:cs="Arial"/>
          <w:sz w:val="20"/>
          <w:szCs w:val="20"/>
        </w:rPr>
        <w:t>a čvrst</w:t>
      </w:r>
      <w:r w:rsidR="002F2E0C">
        <w:rPr>
          <w:rFonts w:ascii="Arial" w:hAnsi="Arial" w:cs="Arial"/>
          <w:sz w:val="20"/>
          <w:szCs w:val="20"/>
        </w:rPr>
        <w:t xml:space="preserve">u volju da projekt privede kraju, te je paralelno sa time osigurala sredstva u proračunu i nastavila sa izvođenjem radova. Nakon sređivanja i otklanjanja prigovora i nedostataka inspekcijskog nalaza od strane Fonda, sređivanja tehničkih specifikacija i potrebnih imenovanja nadzornog inženjera, te svih traženih izvještaja, pripremljeni su preduvjeti za potpisivanje novog, III.dodatka ugovoru, koji </w:t>
      </w:r>
      <w:r w:rsidR="009E6D0F">
        <w:rPr>
          <w:rFonts w:ascii="Arial" w:hAnsi="Arial" w:cs="Arial"/>
          <w:sz w:val="20"/>
          <w:szCs w:val="20"/>
        </w:rPr>
        <w:t>j</w:t>
      </w:r>
      <w:r w:rsidR="00B72EA9">
        <w:rPr>
          <w:rFonts w:ascii="Arial" w:hAnsi="Arial" w:cs="Arial"/>
          <w:sz w:val="20"/>
          <w:szCs w:val="20"/>
        </w:rPr>
        <w:t xml:space="preserve">e </w:t>
      </w:r>
      <w:r w:rsidR="002F2E0C">
        <w:rPr>
          <w:rFonts w:ascii="Arial" w:hAnsi="Arial" w:cs="Arial"/>
          <w:sz w:val="20"/>
          <w:szCs w:val="20"/>
        </w:rPr>
        <w:t xml:space="preserve">potpisan </w:t>
      </w:r>
      <w:r w:rsidR="00B72EA9">
        <w:rPr>
          <w:rFonts w:ascii="Arial" w:hAnsi="Arial" w:cs="Arial"/>
          <w:sz w:val="20"/>
          <w:szCs w:val="20"/>
        </w:rPr>
        <w:t>u 02.mj</w:t>
      </w:r>
      <w:r w:rsidR="002F2E0C" w:rsidRPr="00B72EA9">
        <w:rPr>
          <w:rFonts w:ascii="Arial" w:hAnsi="Arial" w:cs="Arial"/>
          <w:sz w:val="20"/>
          <w:szCs w:val="20"/>
        </w:rPr>
        <w:t>.2015</w:t>
      </w:r>
      <w:r w:rsidR="002F2E0C">
        <w:rPr>
          <w:rFonts w:ascii="Arial" w:hAnsi="Arial" w:cs="Arial"/>
          <w:sz w:val="20"/>
          <w:szCs w:val="20"/>
        </w:rPr>
        <w:t>. godine.</w:t>
      </w:r>
    </w:p>
    <w:p w:rsidR="00575DBA" w:rsidRDefault="00575DBA" w:rsidP="00444A41">
      <w:pPr>
        <w:spacing w:after="0"/>
        <w:jc w:val="both"/>
        <w:rPr>
          <w:rFonts w:ascii="Arial" w:hAnsi="Arial" w:cs="Arial"/>
          <w:sz w:val="20"/>
          <w:szCs w:val="20"/>
        </w:rPr>
      </w:pPr>
      <w:r>
        <w:rPr>
          <w:rFonts w:ascii="Arial" w:hAnsi="Arial" w:cs="Arial"/>
          <w:sz w:val="20"/>
          <w:szCs w:val="20"/>
        </w:rPr>
        <w:t xml:space="preserve">U njemu je iznos investicije korigiran na 4.318.420,23 kn (sa PDV-om) i udjelom Fonda 39,18% ili 1.691.844,71 kn (koliko je Fond i uplatio). Krajnji rok realizacije projekta prolongiran je do kraja 2016. godine. </w:t>
      </w:r>
    </w:p>
    <w:p w:rsidR="002F2E0C" w:rsidRDefault="002F2E0C"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r>
        <w:rPr>
          <w:rFonts w:ascii="Arial" w:hAnsi="Arial" w:cs="Arial"/>
          <w:sz w:val="20"/>
          <w:szCs w:val="20"/>
        </w:rPr>
        <w:t>Paralelno sa pregovorima vođenim sa Fondom, nastavljeni su radovi, te je do zaključno 3</w:t>
      </w:r>
      <w:r w:rsidR="00726054">
        <w:rPr>
          <w:rFonts w:ascii="Arial" w:hAnsi="Arial" w:cs="Arial"/>
          <w:sz w:val="20"/>
          <w:szCs w:val="20"/>
        </w:rPr>
        <w:t>0</w:t>
      </w:r>
      <w:r>
        <w:rPr>
          <w:rFonts w:ascii="Arial" w:hAnsi="Arial" w:cs="Arial"/>
          <w:sz w:val="20"/>
          <w:szCs w:val="20"/>
        </w:rPr>
        <w:t>.</w:t>
      </w:r>
      <w:r w:rsidR="00726054">
        <w:rPr>
          <w:rFonts w:ascii="Arial" w:hAnsi="Arial" w:cs="Arial"/>
          <w:sz w:val="20"/>
          <w:szCs w:val="20"/>
        </w:rPr>
        <w:t>09</w:t>
      </w:r>
      <w:r>
        <w:rPr>
          <w:rFonts w:ascii="Arial" w:hAnsi="Arial" w:cs="Arial"/>
          <w:sz w:val="20"/>
          <w:szCs w:val="20"/>
        </w:rPr>
        <w:t>.201</w:t>
      </w:r>
      <w:r w:rsidR="00726054">
        <w:rPr>
          <w:rFonts w:ascii="Arial" w:hAnsi="Arial" w:cs="Arial"/>
          <w:sz w:val="20"/>
          <w:szCs w:val="20"/>
        </w:rPr>
        <w:t>6</w:t>
      </w:r>
      <w:r>
        <w:rPr>
          <w:rFonts w:ascii="Arial" w:hAnsi="Arial" w:cs="Arial"/>
          <w:sz w:val="20"/>
          <w:szCs w:val="20"/>
        </w:rPr>
        <w:t>. realizirano prema slijedećoj specifikaciji :</w:t>
      </w:r>
    </w:p>
    <w:p w:rsidR="00543D40" w:rsidRDefault="00543D40"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p>
    <w:bookmarkStart w:id="1" w:name="_MON_1484218111"/>
    <w:bookmarkEnd w:id="1"/>
    <w:p w:rsidR="002F2E0C" w:rsidRDefault="00726054" w:rsidP="002F2E0C">
      <w:pPr>
        <w:spacing w:after="0"/>
        <w:jc w:val="center"/>
        <w:rPr>
          <w:rFonts w:ascii="Arial" w:hAnsi="Arial" w:cs="Arial"/>
          <w:sz w:val="20"/>
          <w:szCs w:val="20"/>
        </w:rPr>
      </w:pPr>
      <w:r w:rsidRPr="00A00A42">
        <w:rPr>
          <w:rFonts w:ascii="Arial" w:hAnsi="Arial" w:cs="Arial"/>
          <w:sz w:val="20"/>
          <w:szCs w:val="20"/>
        </w:rPr>
        <w:object w:dxaOrig="8282" w:dyaOrig="4378">
          <v:shape id="_x0000_i1026" type="#_x0000_t75" style="width:413.85pt;height:218.5pt" o:ole="">
            <v:imagedata r:id="rId10" o:title=""/>
          </v:shape>
          <o:OLEObject Type="Embed" ProgID="Excel.Sheet.12" ShapeID="_x0000_i1026" DrawAspect="Content" ObjectID="_1555914645" r:id="rId11"/>
        </w:object>
      </w:r>
    </w:p>
    <w:p w:rsidR="002F2E0C" w:rsidRDefault="002F2E0C" w:rsidP="00444A41">
      <w:pPr>
        <w:spacing w:after="0"/>
        <w:jc w:val="both"/>
        <w:rPr>
          <w:rFonts w:ascii="Arial" w:hAnsi="Arial" w:cs="Arial"/>
          <w:sz w:val="20"/>
          <w:szCs w:val="20"/>
        </w:rPr>
      </w:pPr>
    </w:p>
    <w:p w:rsidR="002F2E0C" w:rsidRDefault="002F2E0C" w:rsidP="00444A41">
      <w:pPr>
        <w:spacing w:after="0"/>
        <w:jc w:val="both"/>
        <w:rPr>
          <w:rFonts w:ascii="Arial" w:hAnsi="Arial" w:cs="Arial"/>
          <w:sz w:val="20"/>
          <w:szCs w:val="20"/>
        </w:rPr>
      </w:pPr>
      <w:r>
        <w:rPr>
          <w:rFonts w:ascii="Arial" w:hAnsi="Arial" w:cs="Arial"/>
          <w:sz w:val="20"/>
          <w:szCs w:val="20"/>
        </w:rPr>
        <w:t>Stoga je trenutno stanje navedene investicije slijedeće :</w:t>
      </w:r>
    </w:p>
    <w:p w:rsidR="002F2E0C" w:rsidRDefault="002F2E0C" w:rsidP="00444A41">
      <w:pPr>
        <w:spacing w:after="0"/>
        <w:jc w:val="both"/>
        <w:rPr>
          <w:rFonts w:ascii="Arial" w:hAnsi="Arial" w:cs="Arial"/>
          <w:sz w:val="20"/>
          <w:szCs w:val="20"/>
        </w:rPr>
      </w:pPr>
    </w:p>
    <w:bookmarkStart w:id="2" w:name="_MON_1484218255"/>
    <w:bookmarkEnd w:id="2"/>
    <w:p w:rsidR="002F2E0C" w:rsidRDefault="00726054" w:rsidP="002F2E0C">
      <w:pPr>
        <w:spacing w:after="0"/>
        <w:jc w:val="center"/>
        <w:rPr>
          <w:rFonts w:ascii="Arial" w:hAnsi="Arial" w:cs="Arial"/>
          <w:sz w:val="20"/>
          <w:szCs w:val="20"/>
        </w:rPr>
      </w:pPr>
      <w:r w:rsidRPr="00A00A42">
        <w:rPr>
          <w:rFonts w:ascii="Arial" w:hAnsi="Arial" w:cs="Arial"/>
          <w:sz w:val="20"/>
          <w:szCs w:val="20"/>
        </w:rPr>
        <w:object w:dxaOrig="8282" w:dyaOrig="6992">
          <v:shape id="_x0000_i1027" type="#_x0000_t75" style="width:413.85pt;height:350.6pt" o:ole="">
            <v:imagedata r:id="rId12" o:title=""/>
          </v:shape>
          <o:OLEObject Type="Embed" ProgID="Excel.Sheet.12" ShapeID="_x0000_i1027" DrawAspect="Content" ObjectID="_1555914646" r:id="rId13"/>
        </w:object>
      </w:r>
    </w:p>
    <w:p w:rsidR="002F2E0C" w:rsidRDefault="002F2E0C" w:rsidP="00444A41">
      <w:pPr>
        <w:spacing w:after="0"/>
        <w:jc w:val="both"/>
        <w:rPr>
          <w:rFonts w:ascii="Arial" w:hAnsi="Arial" w:cs="Arial"/>
          <w:sz w:val="20"/>
          <w:szCs w:val="20"/>
        </w:rPr>
      </w:pPr>
    </w:p>
    <w:p w:rsidR="00575DBA" w:rsidRDefault="00726054" w:rsidP="00444A41">
      <w:pPr>
        <w:spacing w:after="0"/>
        <w:jc w:val="both"/>
        <w:rPr>
          <w:rFonts w:ascii="Arial" w:hAnsi="Arial" w:cs="Arial"/>
          <w:sz w:val="20"/>
          <w:szCs w:val="20"/>
        </w:rPr>
      </w:pPr>
      <w:r>
        <w:rPr>
          <w:rFonts w:ascii="Arial" w:hAnsi="Arial" w:cs="Arial"/>
          <w:sz w:val="20"/>
          <w:szCs w:val="20"/>
        </w:rPr>
        <w:t xml:space="preserve">Obzirom da je Grad sa Fondom izvršio kompenzacije po ostalim projektima u iznosu 287.367,34 kn, u potpunosti su izvršene ugovorne obaveze po ovom projektu, što je potvrdio i Fond svojim </w:t>
      </w:r>
      <w:r w:rsidR="00B428DF">
        <w:rPr>
          <w:rFonts w:ascii="Arial" w:hAnsi="Arial" w:cs="Arial"/>
          <w:sz w:val="20"/>
          <w:szCs w:val="20"/>
        </w:rPr>
        <w:t>pismenim očitovanje</w:t>
      </w:r>
      <w:r>
        <w:rPr>
          <w:rFonts w:ascii="Arial" w:hAnsi="Arial" w:cs="Arial"/>
          <w:sz w:val="20"/>
          <w:szCs w:val="20"/>
        </w:rPr>
        <w:t xml:space="preserve"> od</w:t>
      </w:r>
      <w:r w:rsidR="00B428DF">
        <w:rPr>
          <w:rFonts w:ascii="Arial" w:hAnsi="Arial" w:cs="Arial"/>
          <w:sz w:val="20"/>
          <w:szCs w:val="20"/>
        </w:rPr>
        <w:t xml:space="preserve"> 27.09.2016.</w:t>
      </w:r>
    </w:p>
    <w:p w:rsidR="00575DBA" w:rsidRDefault="00575DBA" w:rsidP="00444A41">
      <w:pPr>
        <w:spacing w:after="0"/>
        <w:jc w:val="both"/>
        <w:rPr>
          <w:rFonts w:ascii="Arial" w:hAnsi="Arial" w:cs="Arial"/>
          <w:sz w:val="20"/>
          <w:szCs w:val="20"/>
        </w:rPr>
      </w:pPr>
    </w:p>
    <w:p w:rsidR="00AB36AE" w:rsidRDefault="00B428DF" w:rsidP="00444A41">
      <w:pPr>
        <w:spacing w:after="0"/>
        <w:jc w:val="both"/>
        <w:rPr>
          <w:rFonts w:ascii="Arial" w:hAnsi="Arial" w:cs="Arial"/>
          <w:sz w:val="20"/>
          <w:szCs w:val="20"/>
        </w:rPr>
      </w:pPr>
      <w:r>
        <w:rPr>
          <w:rFonts w:ascii="Arial" w:hAnsi="Arial" w:cs="Arial"/>
          <w:sz w:val="20"/>
          <w:szCs w:val="20"/>
        </w:rPr>
        <w:t>Rezultat</w:t>
      </w:r>
      <w:r w:rsidR="00AB36AE">
        <w:rPr>
          <w:rFonts w:ascii="Arial" w:hAnsi="Arial" w:cs="Arial"/>
          <w:sz w:val="20"/>
          <w:szCs w:val="20"/>
        </w:rPr>
        <w:t xml:space="preserve"> provedenog projekta </w:t>
      </w:r>
      <w:r>
        <w:rPr>
          <w:rFonts w:ascii="Arial" w:hAnsi="Arial" w:cs="Arial"/>
          <w:sz w:val="20"/>
          <w:szCs w:val="20"/>
        </w:rPr>
        <w:t>je</w:t>
      </w:r>
      <w:r w:rsidR="00AB36AE">
        <w:rPr>
          <w:rFonts w:ascii="Arial" w:hAnsi="Arial" w:cs="Arial"/>
          <w:sz w:val="20"/>
          <w:szCs w:val="20"/>
        </w:rPr>
        <w:t xml:space="preserve"> potpuno obnovljena osnovna infrastruktura sustava javne rasvjete na području Grada Pregrade, što znači da </w:t>
      </w:r>
      <w:r>
        <w:rPr>
          <w:rFonts w:ascii="Arial" w:hAnsi="Arial" w:cs="Arial"/>
          <w:sz w:val="20"/>
          <w:szCs w:val="20"/>
        </w:rPr>
        <w:t>su</w:t>
      </w:r>
      <w:r w:rsidR="00AB36AE">
        <w:rPr>
          <w:rFonts w:ascii="Arial" w:hAnsi="Arial" w:cs="Arial"/>
          <w:sz w:val="20"/>
          <w:szCs w:val="20"/>
        </w:rPr>
        <w:t xml:space="preserve"> uklonjene sve zastarjele, energetski neučinkovite i opasne (živine) svjetiljke, da </w:t>
      </w:r>
      <w:r>
        <w:rPr>
          <w:rFonts w:ascii="Arial" w:hAnsi="Arial" w:cs="Arial"/>
          <w:sz w:val="20"/>
          <w:szCs w:val="20"/>
        </w:rPr>
        <w:t>je</w:t>
      </w:r>
      <w:r w:rsidR="00AB36AE">
        <w:rPr>
          <w:rFonts w:ascii="Arial" w:hAnsi="Arial" w:cs="Arial"/>
          <w:sz w:val="20"/>
          <w:szCs w:val="20"/>
        </w:rPr>
        <w:t xml:space="preserve"> sustav rekonstruiran na način da zadovoljava osnovne tehničke i zakonski propisane uvjete (gustoća i intenzitet osvijetljenosti prometnica</w:t>
      </w:r>
      <w:r w:rsidR="00517313">
        <w:rPr>
          <w:rFonts w:ascii="Arial" w:hAnsi="Arial" w:cs="Arial"/>
          <w:sz w:val="20"/>
          <w:szCs w:val="20"/>
        </w:rPr>
        <w:t>,</w:t>
      </w:r>
      <w:r w:rsidR="00AB36AE">
        <w:rPr>
          <w:rFonts w:ascii="Arial" w:hAnsi="Arial" w:cs="Arial"/>
          <w:sz w:val="20"/>
          <w:szCs w:val="20"/>
        </w:rPr>
        <w:t xml:space="preserve"> nogostupa i pješačkih staza, smanjenje svjetlosnog zagađenja), te doprin</w:t>
      </w:r>
      <w:r>
        <w:rPr>
          <w:rFonts w:ascii="Arial" w:hAnsi="Arial" w:cs="Arial"/>
          <w:sz w:val="20"/>
          <w:szCs w:val="20"/>
        </w:rPr>
        <w:t>osi</w:t>
      </w:r>
      <w:r w:rsidR="00AB36AE">
        <w:rPr>
          <w:rFonts w:ascii="Arial" w:hAnsi="Arial" w:cs="Arial"/>
          <w:sz w:val="20"/>
          <w:szCs w:val="20"/>
        </w:rPr>
        <w:t xml:space="preserve"> manjoj potrošnji (po svjetiljci) i smanjenju troškova održavanja.</w:t>
      </w:r>
    </w:p>
    <w:p w:rsidR="008A7085" w:rsidRDefault="008A7085" w:rsidP="00444A41">
      <w:pPr>
        <w:spacing w:after="0"/>
        <w:jc w:val="both"/>
        <w:rPr>
          <w:rFonts w:ascii="Arial" w:hAnsi="Arial" w:cs="Arial"/>
          <w:sz w:val="20"/>
          <w:szCs w:val="20"/>
        </w:rPr>
      </w:pPr>
    </w:p>
    <w:p w:rsidR="008A7085" w:rsidRDefault="008A7085" w:rsidP="00444A41">
      <w:pPr>
        <w:spacing w:after="0"/>
        <w:jc w:val="both"/>
        <w:rPr>
          <w:rFonts w:ascii="Arial" w:hAnsi="Arial" w:cs="Arial"/>
          <w:sz w:val="20"/>
          <w:szCs w:val="20"/>
        </w:rPr>
      </w:pPr>
    </w:p>
    <w:p w:rsidR="008A7085" w:rsidRDefault="008A7085" w:rsidP="00444A41">
      <w:pPr>
        <w:spacing w:after="0"/>
        <w:jc w:val="both"/>
        <w:rPr>
          <w:rFonts w:ascii="Arial" w:hAnsi="Arial" w:cs="Arial"/>
          <w:sz w:val="20"/>
          <w:szCs w:val="20"/>
        </w:rPr>
      </w:pPr>
    </w:p>
    <w:p w:rsidR="008A7085" w:rsidRDefault="008A7085" w:rsidP="00444A41">
      <w:pPr>
        <w:spacing w:after="0"/>
        <w:jc w:val="both"/>
        <w:rPr>
          <w:rFonts w:ascii="Arial" w:hAnsi="Arial" w:cs="Arial"/>
          <w:sz w:val="20"/>
          <w:szCs w:val="20"/>
        </w:rPr>
      </w:pPr>
      <w:r>
        <w:rPr>
          <w:rFonts w:ascii="Arial" w:hAnsi="Arial" w:cs="Arial"/>
          <w:sz w:val="20"/>
          <w:szCs w:val="20"/>
        </w:rPr>
        <w:t xml:space="preserve">Paralelno sa radovima navedenog projekta izvodili su se radovi kroz održavanje javne rasvjete, koje je tako postalo </w:t>
      </w:r>
      <w:r w:rsidR="008369FD">
        <w:rPr>
          <w:rFonts w:ascii="Arial" w:hAnsi="Arial" w:cs="Arial"/>
          <w:sz w:val="20"/>
          <w:szCs w:val="20"/>
        </w:rPr>
        <w:t>investicijsko. Nakon analize stanja javne rasvjete, planski su izrađeni i montirani novi razdjelnici napajanja i upravljanja rasvjetom, sukladno uvjetima HEP-a i tehničkim normativima. Time je omogućen jedinstven pristup, održavanje i upravljanje sustavom JR (neovisno o HEP-u), jer razdjelnici više nisu sastavni dio trafo-stanica i HEP-a, nego imovina Grada koji ima i ključeve svih svojih razdjelnika.</w:t>
      </w:r>
    </w:p>
    <w:p w:rsidR="008369FD" w:rsidRDefault="008369FD" w:rsidP="00444A41">
      <w:pPr>
        <w:spacing w:after="0"/>
        <w:jc w:val="both"/>
        <w:rPr>
          <w:rFonts w:ascii="Arial" w:hAnsi="Arial" w:cs="Arial"/>
          <w:sz w:val="20"/>
          <w:szCs w:val="20"/>
        </w:rPr>
      </w:pPr>
    </w:p>
    <w:p w:rsidR="008369FD" w:rsidRDefault="00A931AE" w:rsidP="00444A41">
      <w:pPr>
        <w:spacing w:after="0"/>
        <w:jc w:val="both"/>
        <w:rPr>
          <w:rFonts w:ascii="Arial" w:hAnsi="Arial" w:cs="Arial"/>
          <w:sz w:val="20"/>
          <w:szCs w:val="20"/>
        </w:rPr>
      </w:pPr>
      <w:r>
        <w:rPr>
          <w:rFonts w:ascii="Arial" w:hAnsi="Arial" w:cs="Arial"/>
          <w:sz w:val="20"/>
          <w:szCs w:val="20"/>
        </w:rPr>
        <w:t>U odnosu na dan 31.08.2013. (izvršena prva analiza javne rasvjete dolaskom nove gradske uprave) kada smo imali instalirano 666 svjetiljki ukupne snage 78,866 kW, a n</w:t>
      </w:r>
      <w:r w:rsidR="008369FD">
        <w:rPr>
          <w:rFonts w:ascii="Arial" w:hAnsi="Arial" w:cs="Arial"/>
          <w:sz w:val="20"/>
          <w:szCs w:val="20"/>
        </w:rPr>
        <w:t>akon svih gore navedenih radova, sustav javne rasvjete Grada Pregrade izgleda ovako :</w:t>
      </w:r>
    </w:p>
    <w:p w:rsidR="008369FD" w:rsidRDefault="008369FD" w:rsidP="00444A41">
      <w:pPr>
        <w:spacing w:after="0"/>
        <w:jc w:val="both"/>
        <w:rPr>
          <w:rFonts w:ascii="Arial" w:hAnsi="Arial" w:cs="Arial"/>
          <w:sz w:val="20"/>
          <w:szCs w:val="20"/>
        </w:rPr>
      </w:pPr>
    </w:p>
    <w:p w:rsidR="008369FD" w:rsidRDefault="008369FD" w:rsidP="008369FD">
      <w:pPr>
        <w:spacing w:after="0"/>
        <w:jc w:val="both"/>
        <w:rPr>
          <w:rFonts w:ascii="Arial" w:hAnsi="Arial" w:cs="Arial"/>
          <w:sz w:val="20"/>
          <w:szCs w:val="20"/>
        </w:rPr>
      </w:pPr>
      <w:r>
        <w:rPr>
          <w:rFonts w:ascii="Arial" w:hAnsi="Arial" w:cs="Arial"/>
          <w:sz w:val="20"/>
          <w:szCs w:val="20"/>
        </w:rPr>
        <w:t>A/</w:t>
      </w:r>
      <w:r>
        <w:rPr>
          <w:rFonts w:ascii="Arial" w:hAnsi="Arial" w:cs="Arial"/>
          <w:sz w:val="20"/>
          <w:szCs w:val="20"/>
        </w:rPr>
        <w:tab/>
        <w:t>ukupan broj priključaka JR (na trafo-stanicama)</w:t>
      </w:r>
      <w:r>
        <w:rPr>
          <w:rFonts w:ascii="Arial" w:hAnsi="Arial" w:cs="Arial"/>
          <w:sz w:val="20"/>
          <w:szCs w:val="20"/>
        </w:rPr>
        <w:tab/>
      </w:r>
      <w:r>
        <w:rPr>
          <w:rFonts w:ascii="Arial" w:hAnsi="Arial" w:cs="Arial"/>
          <w:sz w:val="20"/>
          <w:szCs w:val="20"/>
        </w:rPr>
        <w:tab/>
      </w:r>
      <w:r>
        <w:rPr>
          <w:rFonts w:ascii="Arial" w:hAnsi="Arial" w:cs="Arial"/>
          <w:sz w:val="20"/>
          <w:szCs w:val="20"/>
        </w:rPr>
        <w:tab/>
        <w:t>30</w:t>
      </w:r>
      <w:r w:rsidR="007243CF">
        <w:rPr>
          <w:rFonts w:ascii="Arial" w:hAnsi="Arial" w:cs="Arial"/>
          <w:sz w:val="20"/>
          <w:szCs w:val="20"/>
        </w:rPr>
        <w:t xml:space="preserve"> kom</w:t>
      </w:r>
    </w:p>
    <w:p w:rsidR="008369FD" w:rsidRDefault="008369FD" w:rsidP="008369FD">
      <w:pPr>
        <w:spacing w:after="0"/>
        <w:jc w:val="both"/>
        <w:rPr>
          <w:rFonts w:ascii="Arial" w:hAnsi="Arial" w:cs="Arial"/>
          <w:sz w:val="20"/>
          <w:szCs w:val="20"/>
        </w:rPr>
      </w:pPr>
      <w:r>
        <w:rPr>
          <w:rFonts w:ascii="Arial" w:hAnsi="Arial" w:cs="Arial"/>
          <w:sz w:val="20"/>
          <w:szCs w:val="20"/>
        </w:rPr>
        <w:t>B/</w:t>
      </w:r>
      <w:r>
        <w:rPr>
          <w:rFonts w:ascii="Arial" w:hAnsi="Arial" w:cs="Arial"/>
          <w:sz w:val="20"/>
          <w:szCs w:val="20"/>
        </w:rPr>
        <w:tab/>
      </w:r>
      <w:r w:rsidR="00A931AE">
        <w:rPr>
          <w:rFonts w:ascii="Arial" w:hAnsi="Arial" w:cs="Arial"/>
          <w:sz w:val="20"/>
          <w:szCs w:val="20"/>
        </w:rPr>
        <w:t>ukupan broj razdjelnika MRO-JR</w:t>
      </w:r>
      <w:r w:rsidR="00A931AE">
        <w:rPr>
          <w:rFonts w:ascii="Arial" w:hAnsi="Arial" w:cs="Arial"/>
          <w:sz w:val="20"/>
          <w:szCs w:val="20"/>
        </w:rPr>
        <w:tab/>
      </w:r>
      <w:r w:rsidR="00A931AE">
        <w:rPr>
          <w:rFonts w:ascii="Arial" w:hAnsi="Arial" w:cs="Arial"/>
          <w:sz w:val="20"/>
          <w:szCs w:val="20"/>
        </w:rPr>
        <w:tab/>
      </w:r>
      <w:r w:rsidR="00A931AE">
        <w:rPr>
          <w:rFonts w:ascii="Arial" w:hAnsi="Arial" w:cs="Arial"/>
          <w:sz w:val="20"/>
          <w:szCs w:val="20"/>
        </w:rPr>
        <w:tab/>
      </w:r>
      <w:r w:rsidR="00A931AE">
        <w:rPr>
          <w:rFonts w:ascii="Arial" w:hAnsi="Arial" w:cs="Arial"/>
          <w:sz w:val="20"/>
          <w:szCs w:val="20"/>
        </w:rPr>
        <w:tab/>
        <w:t>30 kom</w:t>
      </w:r>
    </w:p>
    <w:p w:rsidR="00A931AE" w:rsidRDefault="00A931AE" w:rsidP="008369FD">
      <w:pPr>
        <w:spacing w:after="0"/>
        <w:jc w:val="both"/>
        <w:rPr>
          <w:rFonts w:ascii="Arial" w:hAnsi="Arial" w:cs="Arial"/>
          <w:sz w:val="20"/>
          <w:szCs w:val="20"/>
        </w:rPr>
      </w:pPr>
      <w:r>
        <w:rPr>
          <w:rFonts w:ascii="Arial" w:hAnsi="Arial" w:cs="Arial"/>
          <w:sz w:val="20"/>
          <w:szCs w:val="20"/>
        </w:rPr>
        <w:tab/>
        <w:t>od toga rekonstruiranih i u vlasništvu Grada</w:t>
      </w:r>
      <w:r>
        <w:rPr>
          <w:rFonts w:ascii="Arial" w:hAnsi="Arial" w:cs="Arial"/>
          <w:sz w:val="20"/>
          <w:szCs w:val="20"/>
        </w:rPr>
        <w:tab/>
      </w:r>
      <w:r>
        <w:rPr>
          <w:rFonts w:ascii="Arial" w:hAnsi="Arial" w:cs="Arial"/>
          <w:sz w:val="20"/>
          <w:szCs w:val="20"/>
        </w:rPr>
        <w:tab/>
      </w:r>
      <w:r>
        <w:rPr>
          <w:rFonts w:ascii="Arial" w:hAnsi="Arial" w:cs="Arial"/>
          <w:sz w:val="20"/>
          <w:szCs w:val="20"/>
        </w:rPr>
        <w:tab/>
        <w:t>22 kom</w:t>
      </w:r>
    </w:p>
    <w:p w:rsidR="00A931AE" w:rsidRDefault="00A931AE" w:rsidP="008369FD">
      <w:pPr>
        <w:spacing w:after="0"/>
        <w:jc w:val="both"/>
        <w:rPr>
          <w:rFonts w:ascii="Arial" w:hAnsi="Arial" w:cs="Arial"/>
          <w:sz w:val="20"/>
          <w:szCs w:val="20"/>
        </w:rPr>
      </w:pPr>
      <w:r>
        <w:rPr>
          <w:rFonts w:ascii="Arial" w:hAnsi="Arial" w:cs="Arial"/>
          <w:sz w:val="20"/>
          <w:szCs w:val="20"/>
        </w:rPr>
        <w:t>C/</w:t>
      </w:r>
      <w:r>
        <w:rPr>
          <w:rFonts w:ascii="Arial" w:hAnsi="Arial" w:cs="Arial"/>
          <w:sz w:val="20"/>
          <w:szCs w:val="20"/>
        </w:rPr>
        <w:tab/>
        <w:t>ukupan broj svjetiljki (rasvjetnih tijela)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831 kom</w:t>
      </w:r>
    </w:p>
    <w:p w:rsidR="00A931AE" w:rsidRDefault="00A931AE" w:rsidP="008369FD">
      <w:pPr>
        <w:spacing w:after="0"/>
        <w:jc w:val="both"/>
        <w:rPr>
          <w:rFonts w:ascii="Arial" w:hAnsi="Arial" w:cs="Arial"/>
          <w:sz w:val="20"/>
          <w:szCs w:val="20"/>
        </w:rPr>
      </w:pPr>
      <w:r>
        <w:rPr>
          <w:rFonts w:ascii="Arial" w:hAnsi="Arial" w:cs="Arial"/>
          <w:sz w:val="20"/>
          <w:szCs w:val="20"/>
        </w:rPr>
        <w:tab/>
        <w:t>od toga cestovne svjetiljke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737 kom</w:t>
      </w:r>
    </w:p>
    <w:p w:rsidR="00A931AE" w:rsidRDefault="00A931AE" w:rsidP="008369FD">
      <w:pPr>
        <w:spacing w:after="0"/>
        <w:jc w:val="both"/>
        <w:rPr>
          <w:rFonts w:ascii="Arial" w:hAnsi="Arial" w:cs="Arial"/>
          <w:sz w:val="20"/>
          <w:szCs w:val="20"/>
        </w:rPr>
      </w:pPr>
      <w:r>
        <w:rPr>
          <w:rFonts w:ascii="Arial" w:hAnsi="Arial" w:cs="Arial"/>
          <w:sz w:val="20"/>
          <w:szCs w:val="20"/>
        </w:rPr>
        <w:tab/>
        <w:t>ostalo (reflektori, dekorativne svjetiljke)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94 kom</w:t>
      </w:r>
    </w:p>
    <w:p w:rsidR="00A931AE" w:rsidRDefault="00A931AE" w:rsidP="008369FD">
      <w:pPr>
        <w:spacing w:after="0"/>
        <w:jc w:val="both"/>
        <w:rPr>
          <w:rFonts w:ascii="Arial" w:hAnsi="Arial" w:cs="Arial"/>
          <w:sz w:val="20"/>
          <w:szCs w:val="20"/>
        </w:rPr>
      </w:pPr>
      <w:r>
        <w:rPr>
          <w:rFonts w:ascii="Arial" w:hAnsi="Arial" w:cs="Arial"/>
          <w:sz w:val="20"/>
          <w:szCs w:val="20"/>
        </w:rPr>
        <w:t>D/</w:t>
      </w:r>
      <w:r>
        <w:rPr>
          <w:rFonts w:ascii="Arial" w:hAnsi="Arial" w:cs="Arial"/>
          <w:sz w:val="20"/>
          <w:szCs w:val="20"/>
        </w:rPr>
        <w:tab/>
        <w:t>ukupno instalirana snaga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69,</w:t>
      </w:r>
      <w:r w:rsidR="00B57208">
        <w:rPr>
          <w:rFonts w:ascii="Arial" w:hAnsi="Arial" w:cs="Arial"/>
          <w:sz w:val="20"/>
          <w:szCs w:val="20"/>
        </w:rPr>
        <w:t>899</w:t>
      </w:r>
      <w:r>
        <w:rPr>
          <w:rFonts w:ascii="Arial" w:hAnsi="Arial" w:cs="Arial"/>
          <w:sz w:val="20"/>
          <w:szCs w:val="20"/>
        </w:rPr>
        <w:t xml:space="preserve"> kW</w:t>
      </w:r>
    </w:p>
    <w:p w:rsidR="00A931AE" w:rsidRDefault="00A931AE" w:rsidP="008369FD">
      <w:pPr>
        <w:spacing w:after="0"/>
        <w:jc w:val="both"/>
        <w:rPr>
          <w:rFonts w:ascii="Arial" w:hAnsi="Arial" w:cs="Arial"/>
          <w:sz w:val="20"/>
          <w:szCs w:val="20"/>
        </w:rPr>
      </w:pPr>
    </w:p>
    <w:p w:rsidR="00B57208" w:rsidRDefault="00B57208" w:rsidP="00444A41">
      <w:pPr>
        <w:spacing w:after="0"/>
        <w:jc w:val="both"/>
        <w:rPr>
          <w:rFonts w:ascii="Arial" w:hAnsi="Arial" w:cs="Arial"/>
          <w:sz w:val="20"/>
          <w:szCs w:val="20"/>
        </w:rPr>
      </w:pPr>
      <w:r>
        <w:rPr>
          <w:rFonts w:ascii="Arial" w:hAnsi="Arial" w:cs="Arial"/>
          <w:sz w:val="20"/>
          <w:szCs w:val="20"/>
        </w:rPr>
        <w:t xml:space="preserve">Rezultat svih navedenih radova je </w:t>
      </w:r>
    </w:p>
    <w:p w:rsidR="00B57208" w:rsidRDefault="00B57208" w:rsidP="00B57208">
      <w:pPr>
        <w:pStyle w:val="Odlomakpopisa"/>
        <w:numPr>
          <w:ilvl w:val="0"/>
          <w:numId w:val="12"/>
        </w:numPr>
        <w:spacing w:after="0"/>
        <w:jc w:val="both"/>
        <w:rPr>
          <w:rFonts w:ascii="Arial" w:hAnsi="Arial" w:cs="Arial"/>
          <w:sz w:val="20"/>
          <w:szCs w:val="20"/>
        </w:rPr>
      </w:pPr>
      <w:r w:rsidRPr="00B57208">
        <w:rPr>
          <w:rFonts w:ascii="Arial" w:hAnsi="Arial" w:cs="Arial"/>
          <w:sz w:val="20"/>
          <w:szCs w:val="20"/>
        </w:rPr>
        <w:t xml:space="preserve">povećanje broja svjetiljki za 24,77% </w:t>
      </w:r>
    </w:p>
    <w:p w:rsidR="00AB36AE" w:rsidRPr="00B57208" w:rsidRDefault="00B57208" w:rsidP="00B57208">
      <w:pPr>
        <w:pStyle w:val="Odlomakpopisa"/>
        <w:numPr>
          <w:ilvl w:val="0"/>
          <w:numId w:val="12"/>
        </w:numPr>
        <w:spacing w:after="0"/>
        <w:jc w:val="both"/>
        <w:rPr>
          <w:rFonts w:ascii="Arial" w:hAnsi="Arial" w:cs="Arial"/>
          <w:sz w:val="20"/>
          <w:szCs w:val="20"/>
        </w:rPr>
      </w:pPr>
      <w:r w:rsidRPr="00B57208">
        <w:rPr>
          <w:rFonts w:ascii="Arial" w:hAnsi="Arial" w:cs="Arial"/>
          <w:sz w:val="20"/>
          <w:szCs w:val="20"/>
        </w:rPr>
        <w:t>smanjenje instalirane snage za 11.36%</w:t>
      </w:r>
    </w:p>
    <w:p w:rsidR="00AB36AE" w:rsidRDefault="00AB36AE" w:rsidP="00444A41">
      <w:pPr>
        <w:spacing w:after="0"/>
        <w:jc w:val="both"/>
        <w:rPr>
          <w:rFonts w:ascii="Arial" w:hAnsi="Arial" w:cs="Arial"/>
          <w:sz w:val="20"/>
          <w:szCs w:val="20"/>
        </w:rPr>
      </w:pPr>
    </w:p>
    <w:p w:rsidR="007243CF" w:rsidRDefault="007243CF" w:rsidP="00444A41">
      <w:pPr>
        <w:spacing w:after="0"/>
        <w:jc w:val="both"/>
        <w:rPr>
          <w:rFonts w:ascii="Arial" w:hAnsi="Arial" w:cs="Arial"/>
          <w:sz w:val="20"/>
          <w:szCs w:val="20"/>
        </w:rPr>
      </w:pPr>
    </w:p>
    <w:p w:rsidR="007243CF" w:rsidRDefault="007243CF" w:rsidP="00444A41">
      <w:pPr>
        <w:spacing w:after="0"/>
        <w:jc w:val="both"/>
        <w:rPr>
          <w:rFonts w:ascii="Arial" w:hAnsi="Arial" w:cs="Arial"/>
          <w:sz w:val="20"/>
          <w:szCs w:val="20"/>
        </w:rPr>
      </w:pPr>
    </w:p>
    <w:p w:rsidR="00AB36AE" w:rsidRDefault="00AB36AE" w:rsidP="00444A41">
      <w:pPr>
        <w:spacing w:after="0"/>
        <w:jc w:val="both"/>
        <w:rPr>
          <w:rFonts w:ascii="Arial" w:hAnsi="Arial" w:cs="Arial"/>
          <w:sz w:val="20"/>
          <w:szCs w:val="20"/>
        </w:rPr>
      </w:pPr>
    </w:p>
    <w:p w:rsidR="00AB36AE" w:rsidRDefault="00AB36AE" w:rsidP="00444A41">
      <w:pPr>
        <w:spacing w:after="0"/>
        <w:jc w:val="both"/>
        <w:rPr>
          <w:rFonts w:ascii="Arial" w:hAnsi="Arial" w:cs="Arial"/>
          <w:sz w:val="20"/>
          <w:szCs w:val="20"/>
        </w:rPr>
      </w:pPr>
    </w:p>
    <w:p w:rsidR="00AB36AE" w:rsidRPr="00444A41" w:rsidRDefault="00AB36AE" w:rsidP="00AB36AE">
      <w:pPr>
        <w:pStyle w:val="Odlomakpopisa"/>
        <w:numPr>
          <w:ilvl w:val="0"/>
          <w:numId w:val="6"/>
        </w:numPr>
        <w:spacing w:after="0"/>
        <w:jc w:val="both"/>
        <w:rPr>
          <w:rFonts w:ascii="Arial" w:hAnsi="Arial" w:cs="Arial"/>
          <w:b/>
          <w:sz w:val="20"/>
          <w:szCs w:val="20"/>
          <w:u w:val="single"/>
        </w:rPr>
      </w:pPr>
      <w:r>
        <w:rPr>
          <w:rFonts w:ascii="Arial" w:hAnsi="Arial" w:cs="Arial"/>
          <w:b/>
          <w:sz w:val="20"/>
          <w:szCs w:val="20"/>
          <w:u w:val="single"/>
        </w:rPr>
        <w:t>Održavanje</w:t>
      </w:r>
      <w:r w:rsidRPr="00444A41">
        <w:rPr>
          <w:rFonts w:ascii="Arial" w:hAnsi="Arial" w:cs="Arial"/>
          <w:b/>
          <w:sz w:val="20"/>
          <w:szCs w:val="20"/>
          <w:u w:val="single"/>
        </w:rPr>
        <w:t xml:space="preserve"> javne rasvjete </w:t>
      </w:r>
    </w:p>
    <w:p w:rsidR="00AB36AE" w:rsidRDefault="00AB36AE" w:rsidP="00AB36AE">
      <w:pPr>
        <w:pStyle w:val="Odlomakpopisa"/>
        <w:spacing w:after="0"/>
        <w:jc w:val="both"/>
        <w:rPr>
          <w:rFonts w:ascii="Arial" w:hAnsi="Arial" w:cs="Arial"/>
          <w:b/>
          <w:sz w:val="20"/>
          <w:szCs w:val="20"/>
          <w:u w:val="single"/>
        </w:rPr>
      </w:pPr>
    </w:p>
    <w:p w:rsidR="005D65E1" w:rsidRPr="00444A41" w:rsidRDefault="005D65E1" w:rsidP="00AB36AE">
      <w:pPr>
        <w:pStyle w:val="Odlomakpopisa"/>
        <w:spacing w:after="0"/>
        <w:jc w:val="both"/>
        <w:rPr>
          <w:rFonts w:ascii="Arial" w:hAnsi="Arial" w:cs="Arial"/>
          <w:b/>
          <w:sz w:val="20"/>
          <w:szCs w:val="20"/>
          <w:u w:val="single"/>
        </w:rPr>
      </w:pPr>
    </w:p>
    <w:p w:rsidR="003D4A2A" w:rsidRDefault="00B1127A" w:rsidP="00B1127A">
      <w:pPr>
        <w:spacing w:after="0"/>
        <w:jc w:val="both"/>
        <w:rPr>
          <w:rFonts w:ascii="Arial" w:hAnsi="Arial" w:cs="Arial"/>
          <w:sz w:val="20"/>
          <w:szCs w:val="20"/>
        </w:rPr>
      </w:pPr>
      <w:r>
        <w:rPr>
          <w:rFonts w:ascii="Arial" w:hAnsi="Arial" w:cs="Arial"/>
          <w:sz w:val="20"/>
          <w:szCs w:val="20"/>
        </w:rPr>
        <w:t>U periodu od 01.07.2013. do 31.08.2013. izvršena je analiza stanj</w:t>
      </w:r>
      <w:r w:rsidR="0058117B">
        <w:rPr>
          <w:rFonts w:ascii="Arial" w:hAnsi="Arial" w:cs="Arial"/>
          <w:sz w:val="20"/>
          <w:szCs w:val="20"/>
        </w:rPr>
        <w:t>a javne rasvjete Grada Pregrade (prilog br.1)</w:t>
      </w:r>
      <w:r w:rsidR="003D4A2A">
        <w:rPr>
          <w:rFonts w:ascii="Arial" w:hAnsi="Arial" w:cs="Arial"/>
          <w:sz w:val="20"/>
          <w:szCs w:val="20"/>
        </w:rPr>
        <w:t>.</w:t>
      </w:r>
    </w:p>
    <w:p w:rsidR="003D4A2A" w:rsidRDefault="003D4A2A" w:rsidP="00B1127A">
      <w:pPr>
        <w:spacing w:after="0"/>
        <w:jc w:val="both"/>
        <w:rPr>
          <w:rFonts w:ascii="Arial" w:hAnsi="Arial" w:cs="Arial"/>
          <w:sz w:val="20"/>
          <w:szCs w:val="20"/>
        </w:rPr>
      </w:pPr>
    </w:p>
    <w:p w:rsidR="003D4A2A" w:rsidRDefault="003D4A2A" w:rsidP="00B1127A">
      <w:pPr>
        <w:spacing w:after="0"/>
        <w:jc w:val="both"/>
        <w:rPr>
          <w:rFonts w:ascii="Arial" w:hAnsi="Arial" w:cs="Arial"/>
          <w:sz w:val="20"/>
          <w:szCs w:val="20"/>
        </w:rPr>
      </w:pPr>
      <w:r>
        <w:rPr>
          <w:rFonts w:ascii="Arial" w:hAnsi="Arial" w:cs="Arial"/>
          <w:sz w:val="20"/>
          <w:szCs w:val="20"/>
        </w:rPr>
        <w:t>Sukladno zaključcima navedene analize, poduzete su slijedeće radnje :</w:t>
      </w:r>
    </w:p>
    <w:p w:rsidR="005D65E1" w:rsidRDefault="005D65E1" w:rsidP="00B1127A">
      <w:pPr>
        <w:spacing w:after="0"/>
        <w:jc w:val="both"/>
        <w:rPr>
          <w:rFonts w:ascii="Arial" w:hAnsi="Arial" w:cs="Arial"/>
          <w:sz w:val="20"/>
          <w:szCs w:val="20"/>
        </w:rPr>
      </w:pPr>
    </w:p>
    <w:p w:rsidR="003D4A2A" w:rsidRDefault="003D4A2A" w:rsidP="003D4A2A">
      <w:pPr>
        <w:spacing w:after="0"/>
        <w:jc w:val="both"/>
        <w:rPr>
          <w:rFonts w:ascii="Arial" w:hAnsi="Arial" w:cs="Arial"/>
          <w:sz w:val="20"/>
          <w:szCs w:val="20"/>
        </w:rPr>
      </w:pPr>
      <w:r>
        <w:rPr>
          <w:rFonts w:ascii="Arial" w:hAnsi="Arial" w:cs="Arial"/>
          <w:sz w:val="20"/>
          <w:szCs w:val="20"/>
        </w:rPr>
        <w:t>a/</w:t>
      </w:r>
      <w:r>
        <w:rPr>
          <w:rFonts w:ascii="Arial" w:hAnsi="Arial" w:cs="Arial"/>
          <w:sz w:val="20"/>
          <w:szCs w:val="20"/>
        </w:rPr>
        <w:tab/>
        <w:t>izrađen je snimak sustava javne rasvjete</w:t>
      </w:r>
    </w:p>
    <w:p w:rsidR="003D4A2A" w:rsidRDefault="003D4A2A" w:rsidP="003D4A2A">
      <w:pPr>
        <w:spacing w:after="0"/>
        <w:jc w:val="both"/>
        <w:rPr>
          <w:rFonts w:ascii="Arial" w:hAnsi="Arial" w:cs="Arial"/>
          <w:sz w:val="20"/>
          <w:szCs w:val="20"/>
        </w:rPr>
      </w:pPr>
      <w:r>
        <w:rPr>
          <w:rFonts w:ascii="Arial" w:hAnsi="Arial" w:cs="Arial"/>
          <w:sz w:val="20"/>
          <w:szCs w:val="20"/>
        </w:rPr>
        <w:t>b/</w:t>
      </w:r>
      <w:r>
        <w:rPr>
          <w:rFonts w:ascii="Arial" w:hAnsi="Arial" w:cs="Arial"/>
          <w:sz w:val="20"/>
          <w:szCs w:val="20"/>
        </w:rPr>
        <w:tab/>
        <w:t>detektirane su mogućnosti na smanjenju potrošnje (električna energija) i održavanju.</w:t>
      </w:r>
    </w:p>
    <w:p w:rsidR="003D4A2A" w:rsidRDefault="003D4A2A" w:rsidP="003D4A2A">
      <w:pPr>
        <w:spacing w:after="0"/>
        <w:ind w:left="705" w:hanging="705"/>
        <w:jc w:val="both"/>
        <w:rPr>
          <w:rFonts w:ascii="Arial" w:hAnsi="Arial" w:cs="Arial"/>
          <w:sz w:val="20"/>
          <w:szCs w:val="20"/>
        </w:rPr>
      </w:pPr>
      <w:r>
        <w:rPr>
          <w:rFonts w:ascii="Arial" w:hAnsi="Arial" w:cs="Arial"/>
          <w:sz w:val="20"/>
          <w:szCs w:val="20"/>
        </w:rPr>
        <w:t>c/</w:t>
      </w:r>
      <w:r>
        <w:rPr>
          <w:rFonts w:ascii="Arial" w:hAnsi="Arial" w:cs="Arial"/>
          <w:sz w:val="20"/>
          <w:szCs w:val="20"/>
        </w:rPr>
        <w:tab/>
        <w:t xml:space="preserve">izrađen je Plan održavanja javne rasvjete, čime je precizno definirano kada i na koji način se izvode radovi na održavanju, te kako građani mogu prijavljivati uočene kvarove </w:t>
      </w:r>
      <w:r w:rsidR="007C5449">
        <w:rPr>
          <w:rFonts w:ascii="Arial" w:hAnsi="Arial" w:cs="Arial"/>
          <w:sz w:val="20"/>
          <w:szCs w:val="20"/>
        </w:rPr>
        <w:t>(prilo</w:t>
      </w:r>
      <w:r w:rsidR="00254E73">
        <w:rPr>
          <w:rFonts w:ascii="Arial" w:hAnsi="Arial" w:cs="Arial"/>
          <w:sz w:val="20"/>
          <w:szCs w:val="20"/>
        </w:rPr>
        <w:t xml:space="preserve">g </w:t>
      </w:r>
      <w:r w:rsidR="007C5449">
        <w:rPr>
          <w:rFonts w:ascii="Arial" w:hAnsi="Arial" w:cs="Arial"/>
          <w:sz w:val="20"/>
          <w:szCs w:val="20"/>
        </w:rPr>
        <w:t>br</w:t>
      </w:r>
      <w:r w:rsidR="00254E73">
        <w:rPr>
          <w:rFonts w:ascii="Arial" w:hAnsi="Arial" w:cs="Arial"/>
          <w:sz w:val="20"/>
          <w:szCs w:val="20"/>
        </w:rPr>
        <w:t>.</w:t>
      </w:r>
      <w:r w:rsidR="007C5449">
        <w:rPr>
          <w:rFonts w:ascii="Arial" w:hAnsi="Arial" w:cs="Arial"/>
          <w:sz w:val="20"/>
          <w:szCs w:val="20"/>
        </w:rPr>
        <w:t>2)</w:t>
      </w:r>
    </w:p>
    <w:p w:rsidR="003C1C58" w:rsidRDefault="003C1C58" w:rsidP="003D4A2A">
      <w:pPr>
        <w:spacing w:after="0"/>
        <w:ind w:left="705" w:hanging="705"/>
        <w:jc w:val="both"/>
        <w:rPr>
          <w:rFonts w:ascii="Arial" w:hAnsi="Arial" w:cs="Arial"/>
          <w:sz w:val="20"/>
          <w:szCs w:val="20"/>
        </w:rPr>
      </w:pPr>
      <w:r>
        <w:rPr>
          <w:rFonts w:ascii="Arial" w:hAnsi="Arial" w:cs="Arial"/>
          <w:sz w:val="20"/>
          <w:szCs w:val="20"/>
        </w:rPr>
        <w:t>d/</w:t>
      </w:r>
      <w:r>
        <w:rPr>
          <w:rFonts w:ascii="Arial" w:hAnsi="Arial" w:cs="Arial"/>
          <w:sz w:val="20"/>
          <w:szCs w:val="20"/>
        </w:rPr>
        <w:tab/>
        <w:t>pripremljen je novi troškovnik kao podloga za objavljivanje natječaja za održavanje javne rasvjete</w:t>
      </w:r>
    </w:p>
    <w:p w:rsidR="003C1C58" w:rsidRDefault="007C5449" w:rsidP="003C1C58">
      <w:pPr>
        <w:spacing w:after="0"/>
        <w:ind w:left="705" w:hanging="705"/>
        <w:jc w:val="both"/>
        <w:rPr>
          <w:rFonts w:ascii="Arial" w:hAnsi="Arial" w:cs="Arial"/>
          <w:sz w:val="20"/>
          <w:szCs w:val="20"/>
        </w:rPr>
      </w:pPr>
      <w:r>
        <w:rPr>
          <w:rFonts w:ascii="Arial" w:hAnsi="Arial" w:cs="Arial"/>
          <w:sz w:val="20"/>
          <w:szCs w:val="20"/>
        </w:rPr>
        <w:t>e/</w:t>
      </w:r>
      <w:r>
        <w:rPr>
          <w:rFonts w:ascii="Arial" w:hAnsi="Arial" w:cs="Arial"/>
          <w:sz w:val="20"/>
          <w:szCs w:val="20"/>
        </w:rPr>
        <w:tab/>
        <w:t>r</w:t>
      </w:r>
      <w:r w:rsidR="003C1C58">
        <w:rPr>
          <w:rFonts w:ascii="Arial" w:hAnsi="Arial" w:cs="Arial"/>
          <w:sz w:val="20"/>
          <w:szCs w:val="20"/>
        </w:rPr>
        <w:t xml:space="preserve">adi smanjenja potrošnje električne energije na Trgu Gospe Kunagorske zamijenjene su sve žarulje (96 kom) snage 150W sa žaruljama snage 70W, čime je je ukupna snaga  smanjena sa 14,4 kW na 6,72 kW (odnosno 53%), </w:t>
      </w:r>
      <w:r w:rsidR="00F96B2C">
        <w:rPr>
          <w:rFonts w:ascii="Arial" w:hAnsi="Arial" w:cs="Arial"/>
          <w:sz w:val="20"/>
          <w:szCs w:val="20"/>
        </w:rPr>
        <w:t xml:space="preserve">te </w:t>
      </w:r>
      <w:r w:rsidR="003C1C58">
        <w:rPr>
          <w:rFonts w:ascii="Arial" w:hAnsi="Arial" w:cs="Arial"/>
          <w:sz w:val="20"/>
          <w:szCs w:val="20"/>
        </w:rPr>
        <w:t xml:space="preserve">jeostvarena financijska ušteda od oko 30.000,00 kn (na godišnjoj razini). </w:t>
      </w:r>
    </w:p>
    <w:p w:rsidR="007C5449" w:rsidRDefault="007C5449" w:rsidP="003C1C58">
      <w:pPr>
        <w:spacing w:after="0"/>
        <w:ind w:left="705" w:hanging="705"/>
        <w:jc w:val="both"/>
        <w:rPr>
          <w:rFonts w:ascii="Arial" w:hAnsi="Arial" w:cs="Arial"/>
          <w:sz w:val="20"/>
          <w:szCs w:val="20"/>
        </w:rPr>
      </w:pPr>
      <w:r>
        <w:rPr>
          <w:rFonts w:ascii="Arial" w:hAnsi="Arial" w:cs="Arial"/>
          <w:sz w:val="20"/>
          <w:szCs w:val="20"/>
        </w:rPr>
        <w:t>f/</w:t>
      </w:r>
      <w:r>
        <w:rPr>
          <w:rFonts w:ascii="Arial" w:hAnsi="Arial" w:cs="Arial"/>
          <w:sz w:val="20"/>
          <w:szCs w:val="20"/>
        </w:rPr>
        <w:tab/>
        <w:t>n</w:t>
      </w:r>
      <w:r w:rsidR="003C1C58">
        <w:rPr>
          <w:rFonts w:ascii="Arial" w:hAnsi="Arial" w:cs="Arial"/>
          <w:sz w:val="20"/>
          <w:szCs w:val="20"/>
        </w:rPr>
        <w:t>a nekim linijama rasvjete regulirano je upravljanje (vrijeme uklopa/isklopa</w:t>
      </w:r>
      <w:r w:rsidR="00D6032C">
        <w:rPr>
          <w:rFonts w:ascii="Arial" w:hAnsi="Arial" w:cs="Arial"/>
          <w:sz w:val="20"/>
          <w:szCs w:val="20"/>
        </w:rPr>
        <w:t>)</w:t>
      </w:r>
    </w:p>
    <w:p w:rsidR="007C5449" w:rsidRDefault="007C5449" w:rsidP="003C1C58">
      <w:pPr>
        <w:spacing w:after="0"/>
        <w:ind w:left="705" w:hanging="705"/>
        <w:jc w:val="both"/>
        <w:rPr>
          <w:rFonts w:ascii="Arial" w:hAnsi="Arial" w:cs="Arial"/>
          <w:sz w:val="20"/>
          <w:szCs w:val="20"/>
        </w:rPr>
      </w:pPr>
    </w:p>
    <w:p w:rsidR="0045705D" w:rsidRDefault="0045705D" w:rsidP="00B1127A">
      <w:pPr>
        <w:spacing w:after="0"/>
        <w:jc w:val="both"/>
        <w:rPr>
          <w:rFonts w:ascii="Arial" w:hAnsi="Arial" w:cs="Arial"/>
          <w:sz w:val="20"/>
          <w:szCs w:val="20"/>
        </w:rPr>
      </w:pPr>
      <w:r>
        <w:rPr>
          <w:rFonts w:ascii="Arial" w:hAnsi="Arial" w:cs="Arial"/>
          <w:sz w:val="20"/>
          <w:szCs w:val="20"/>
        </w:rPr>
        <w:t>Striktnim provođenjem P</w:t>
      </w:r>
      <w:r w:rsidR="005308F0">
        <w:rPr>
          <w:rFonts w:ascii="Arial" w:hAnsi="Arial" w:cs="Arial"/>
          <w:sz w:val="20"/>
          <w:szCs w:val="20"/>
        </w:rPr>
        <w:t>rograma</w:t>
      </w:r>
      <w:r>
        <w:rPr>
          <w:rFonts w:ascii="Arial" w:hAnsi="Arial" w:cs="Arial"/>
          <w:sz w:val="20"/>
          <w:szCs w:val="20"/>
        </w:rPr>
        <w:t xml:space="preserve"> održavanja javne rasvjete, smanjen je broj intervencija, žarulje i prigušnice na svjetiljkama se ne mijenjaju pojedinačno nego planski na točno određenoj lokaciji i u predviđenom periodu. Stoga je i očekivani prosječni broj žarulja i prigušnica, te broj radnih sati za zamjenu u jednoj godini pao na razumnu razinu, što je vidljivo iz slijede</w:t>
      </w:r>
      <w:r w:rsidR="005308F0">
        <w:rPr>
          <w:rFonts w:ascii="Arial" w:hAnsi="Arial" w:cs="Arial"/>
          <w:sz w:val="20"/>
          <w:szCs w:val="20"/>
        </w:rPr>
        <w:t>ć</w:t>
      </w:r>
      <w:r>
        <w:rPr>
          <w:rFonts w:ascii="Arial" w:hAnsi="Arial" w:cs="Arial"/>
          <w:sz w:val="20"/>
          <w:szCs w:val="20"/>
        </w:rPr>
        <w:t>eg :</w:t>
      </w:r>
    </w:p>
    <w:p w:rsidR="00D8670F" w:rsidRDefault="00D8670F" w:rsidP="00B1127A">
      <w:pPr>
        <w:spacing w:after="0"/>
        <w:jc w:val="both"/>
        <w:rPr>
          <w:rFonts w:ascii="Arial" w:hAnsi="Arial" w:cs="Arial"/>
          <w:sz w:val="20"/>
          <w:szCs w:val="20"/>
        </w:rPr>
      </w:pPr>
    </w:p>
    <w:p w:rsidR="0045705D" w:rsidRDefault="0045705D" w:rsidP="00B1127A">
      <w:pPr>
        <w:spacing w:after="0"/>
        <w:jc w:val="both"/>
        <w:rPr>
          <w:rFonts w:ascii="Arial" w:hAnsi="Arial" w:cs="Arial"/>
          <w:sz w:val="20"/>
          <w:szCs w:val="20"/>
        </w:rPr>
      </w:pPr>
    </w:p>
    <w:bookmarkStart w:id="3" w:name="_MON_1484389040"/>
    <w:bookmarkEnd w:id="3"/>
    <w:p w:rsidR="0045705D" w:rsidRDefault="00D8670F" w:rsidP="00D8670F">
      <w:pPr>
        <w:spacing w:after="0"/>
        <w:jc w:val="center"/>
        <w:rPr>
          <w:rFonts w:ascii="Arial" w:hAnsi="Arial" w:cs="Arial"/>
          <w:sz w:val="20"/>
          <w:szCs w:val="20"/>
        </w:rPr>
      </w:pPr>
      <w:r w:rsidRPr="00A00A42">
        <w:rPr>
          <w:rFonts w:ascii="Arial" w:hAnsi="Arial" w:cs="Arial"/>
          <w:sz w:val="20"/>
          <w:szCs w:val="20"/>
        </w:rPr>
        <w:object w:dxaOrig="9338" w:dyaOrig="1117">
          <v:shape id="_x0000_i1028" type="#_x0000_t75" style="width:467.05pt;height:55.7pt" o:ole="">
            <v:imagedata r:id="rId14" o:title=""/>
          </v:shape>
          <o:OLEObject Type="Embed" ProgID="Excel.Sheet.12" ShapeID="_x0000_i1028" DrawAspect="Content" ObjectID="_1555914647" r:id="rId15"/>
        </w:object>
      </w:r>
    </w:p>
    <w:p w:rsidR="0045705D" w:rsidRDefault="0045705D" w:rsidP="00B1127A">
      <w:pPr>
        <w:spacing w:after="0"/>
        <w:jc w:val="both"/>
        <w:rPr>
          <w:rFonts w:ascii="Arial" w:hAnsi="Arial" w:cs="Arial"/>
          <w:sz w:val="20"/>
          <w:szCs w:val="20"/>
        </w:rPr>
      </w:pPr>
    </w:p>
    <w:p w:rsidR="0045705D" w:rsidRDefault="0045705D" w:rsidP="00B1127A">
      <w:pPr>
        <w:spacing w:after="0"/>
        <w:jc w:val="both"/>
        <w:rPr>
          <w:rFonts w:ascii="Arial" w:hAnsi="Arial" w:cs="Arial"/>
          <w:sz w:val="20"/>
          <w:szCs w:val="20"/>
        </w:rPr>
      </w:pPr>
    </w:p>
    <w:p w:rsidR="007243CF" w:rsidRDefault="007243CF" w:rsidP="00B1127A">
      <w:pPr>
        <w:spacing w:after="0"/>
        <w:jc w:val="both"/>
        <w:rPr>
          <w:rFonts w:ascii="Arial" w:hAnsi="Arial" w:cs="Arial"/>
          <w:sz w:val="20"/>
          <w:szCs w:val="20"/>
        </w:rPr>
      </w:pPr>
    </w:p>
    <w:p w:rsidR="007243CF" w:rsidRDefault="007243CF" w:rsidP="00B1127A">
      <w:pPr>
        <w:spacing w:after="0"/>
        <w:jc w:val="both"/>
        <w:rPr>
          <w:rFonts w:ascii="Arial" w:hAnsi="Arial" w:cs="Arial"/>
          <w:sz w:val="20"/>
          <w:szCs w:val="20"/>
        </w:rPr>
      </w:pPr>
    </w:p>
    <w:p w:rsidR="007243CF" w:rsidRDefault="007243C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r>
        <w:rPr>
          <w:noProof/>
          <w:lang w:eastAsia="hr-HR"/>
        </w:rPr>
        <w:drawing>
          <wp:inline distT="0" distB="0" distL="0" distR="0">
            <wp:extent cx="6480175" cy="3609975"/>
            <wp:effectExtent l="0" t="0" r="1587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43CF" w:rsidRDefault="007243CF" w:rsidP="00B1127A">
      <w:pPr>
        <w:spacing w:after="0"/>
        <w:jc w:val="both"/>
        <w:rPr>
          <w:rFonts w:ascii="Arial" w:hAnsi="Arial" w:cs="Arial"/>
          <w:sz w:val="20"/>
          <w:szCs w:val="20"/>
        </w:rPr>
      </w:pPr>
    </w:p>
    <w:p w:rsidR="0011640A" w:rsidRDefault="0011640A" w:rsidP="00B1127A">
      <w:pPr>
        <w:spacing w:after="0"/>
        <w:jc w:val="both"/>
        <w:rPr>
          <w:rFonts w:ascii="Arial" w:hAnsi="Arial" w:cs="Arial"/>
          <w:sz w:val="20"/>
          <w:szCs w:val="20"/>
        </w:rPr>
      </w:pPr>
      <w:bookmarkStart w:id="4" w:name="_GoBack"/>
      <w:bookmarkEnd w:id="4"/>
    </w:p>
    <w:p w:rsidR="0045705D" w:rsidRDefault="0045705D" w:rsidP="00B1127A">
      <w:pPr>
        <w:spacing w:after="0"/>
        <w:jc w:val="both"/>
        <w:rPr>
          <w:rFonts w:ascii="Arial" w:hAnsi="Arial" w:cs="Arial"/>
          <w:sz w:val="20"/>
          <w:szCs w:val="20"/>
        </w:rPr>
      </w:pPr>
    </w:p>
    <w:p w:rsidR="007C5449" w:rsidRDefault="007C5449" w:rsidP="00B1127A">
      <w:pPr>
        <w:spacing w:after="0"/>
        <w:jc w:val="both"/>
        <w:rPr>
          <w:rFonts w:ascii="Arial" w:hAnsi="Arial" w:cs="Arial"/>
          <w:sz w:val="20"/>
          <w:szCs w:val="20"/>
        </w:rPr>
      </w:pPr>
      <w:r>
        <w:rPr>
          <w:rFonts w:ascii="Arial" w:hAnsi="Arial" w:cs="Arial"/>
          <w:sz w:val="20"/>
          <w:szCs w:val="20"/>
        </w:rPr>
        <w:t xml:space="preserve">Rezultat gore navedenih radnji su smanjeni troškovi električne energije i održavanje sustava, prema slijedećem: </w:t>
      </w:r>
    </w:p>
    <w:p w:rsidR="005D65E1" w:rsidRDefault="005D65E1" w:rsidP="00B1127A">
      <w:pPr>
        <w:spacing w:after="0"/>
        <w:jc w:val="both"/>
        <w:rPr>
          <w:rFonts w:ascii="Arial" w:hAnsi="Arial" w:cs="Arial"/>
          <w:sz w:val="20"/>
          <w:szCs w:val="20"/>
        </w:rPr>
      </w:pPr>
    </w:p>
    <w:bookmarkStart w:id="5" w:name="_MON_1540902914"/>
    <w:bookmarkEnd w:id="5"/>
    <w:p w:rsidR="007C5449" w:rsidRDefault="00D8670F" w:rsidP="0058117B">
      <w:pPr>
        <w:spacing w:after="0"/>
        <w:rPr>
          <w:rFonts w:ascii="Arial" w:hAnsi="Arial" w:cs="Arial"/>
          <w:sz w:val="20"/>
          <w:szCs w:val="20"/>
        </w:rPr>
      </w:pPr>
      <w:r w:rsidRPr="00A00A42">
        <w:rPr>
          <w:rFonts w:ascii="Arial" w:hAnsi="Arial" w:cs="Arial"/>
          <w:sz w:val="20"/>
          <w:szCs w:val="20"/>
        </w:rPr>
        <w:object w:dxaOrig="9472" w:dyaOrig="582">
          <v:shape id="_x0000_i1029" type="#_x0000_t75" style="width:473.3pt;height:28.8pt" o:ole="">
            <v:imagedata r:id="rId17" o:title=""/>
          </v:shape>
          <o:OLEObject Type="Embed" ProgID="Excel.Sheet.12" ShapeID="_x0000_i1029" DrawAspect="Content" ObjectID="_1555914648" r:id="rId18"/>
        </w:object>
      </w:r>
    </w:p>
    <w:p w:rsidR="00D8670F" w:rsidRDefault="00D8670F" w:rsidP="00D8670F">
      <w:pPr>
        <w:spacing w:after="0"/>
        <w:jc w:val="center"/>
        <w:rPr>
          <w:rFonts w:ascii="Arial" w:hAnsi="Arial" w:cs="Arial"/>
          <w:sz w:val="20"/>
          <w:szCs w:val="20"/>
        </w:rPr>
      </w:pPr>
    </w:p>
    <w:bookmarkStart w:id="6" w:name="_MON_1540903350"/>
    <w:bookmarkEnd w:id="6"/>
    <w:p w:rsidR="00D8670F" w:rsidRDefault="0058117B" w:rsidP="0058117B">
      <w:pPr>
        <w:spacing w:after="0"/>
        <w:rPr>
          <w:rFonts w:ascii="Arial" w:hAnsi="Arial" w:cs="Arial"/>
          <w:sz w:val="20"/>
          <w:szCs w:val="20"/>
        </w:rPr>
      </w:pPr>
      <w:r w:rsidRPr="00A00A42">
        <w:rPr>
          <w:rFonts w:ascii="Arial" w:hAnsi="Arial" w:cs="Arial"/>
          <w:sz w:val="20"/>
          <w:szCs w:val="20"/>
        </w:rPr>
        <w:object w:dxaOrig="6060" w:dyaOrig="582">
          <v:shape id="_x0000_i1030" type="#_x0000_t75" style="width:303.05pt;height:28.8pt" o:ole="">
            <v:imagedata r:id="rId19" o:title=""/>
          </v:shape>
          <o:OLEObject Type="Embed" ProgID="Excel.Sheet.12" ShapeID="_x0000_i1030" DrawAspect="Content" ObjectID="_1555914649" r:id="rId20"/>
        </w:object>
      </w:r>
    </w:p>
    <w:p w:rsidR="007C5449" w:rsidRDefault="007C5449"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7C5449" w:rsidRDefault="00D8670F" w:rsidP="007C5449">
      <w:pPr>
        <w:spacing w:after="0"/>
        <w:jc w:val="center"/>
        <w:rPr>
          <w:rFonts w:ascii="Arial" w:hAnsi="Arial" w:cs="Arial"/>
          <w:sz w:val="20"/>
          <w:szCs w:val="20"/>
        </w:rPr>
      </w:pPr>
      <w:r>
        <w:rPr>
          <w:noProof/>
          <w:lang w:eastAsia="hr-HR"/>
        </w:rPr>
        <w:drawing>
          <wp:inline distT="0" distB="0" distL="0" distR="0">
            <wp:extent cx="5502302" cy="3196425"/>
            <wp:effectExtent l="0" t="0" r="3175"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65E1" w:rsidRDefault="005D65E1"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D8670F" w:rsidRDefault="00D8670F" w:rsidP="00B1127A">
      <w:pPr>
        <w:spacing w:after="0"/>
        <w:jc w:val="both"/>
        <w:rPr>
          <w:rFonts w:ascii="Arial" w:hAnsi="Arial" w:cs="Arial"/>
          <w:sz w:val="20"/>
          <w:szCs w:val="20"/>
        </w:rPr>
      </w:pPr>
    </w:p>
    <w:p w:rsidR="00670E47" w:rsidRDefault="00670E47" w:rsidP="00B1127A">
      <w:pPr>
        <w:spacing w:after="0"/>
        <w:jc w:val="both"/>
        <w:rPr>
          <w:rFonts w:ascii="Arial" w:hAnsi="Arial" w:cs="Arial"/>
          <w:sz w:val="20"/>
          <w:szCs w:val="20"/>
        </w:rPr>
      </w:pPr>
    </w:p>
    <w:p w:rsidR="00670E47" w:rsidRPr="00444A41" w:rsidRDefault="00670E47" w:rsidP="00670E47">
      <w:pPr>
        <w:pStyle w:val="Odlomakpopisa"/>
        <w:spacing w:after="0"/>
        <w:jc w:val="both"/>
        <w:rPr>
          <w:rFonts w:ascii="Arial" w:hAnsi="Arial" w:cs="Arial"/>
          <w:b/>
          <w:sz w:val="20"/>
          <w:szCs w:val="20"/>
          <w:u w:val="single"/>
        </w:rPr>
      </w:pPr>
      <w:r>
        <w:rPr>
          <w:rFonts w:ascii="Arial" w:hAnsi="Arial" w:cs="Arial"/>
          <w:b/>
          <w:sz w:val="20"/>
          <w:szCs w:val="20"/>
          <w:u w:val="single"/>
        </w:rPr>
        <w:t>ZAKLJUČAK</w:t>
      </w:r>
    </w:p>
    <w:p w:rsidR="00670E47" w:rsidRDefault="00670E47" w:rsidP="00B1127A">
      <w:pPr>
        <w:spacing w:after="0"/>
        <w:jc w:val="both"/>
        <w:rPr>
          <w:rFonts w:ascii="Arial" w:hAnsi="Arial" w:cs="Arial"/>
          <w:sz w:val="20"/>
          <w:szCs w:val="20"/>
        </w:rPr>
      </w:pPr>
    </w:p>
    <w:p w:rsidR="00670E47" w:rsidRDefault="00670E47" w:rsidP="00B1127A">
      <w:pPr>
        <w:spacing w:after="0"/>
        <w:jc w:val="both"/>
        <w:rPr>
          <w:rFonts w:ascii="Arial" w:hAnsi="Arial" w:cs="Arial"/>
          <w:sz w:val="20"/>
          <w:szCs w:val="20"/>
        </w:rPr>
      </w:pPr>
      <w:r>
        <w:rPr>
          <w:rFonts w:ascii="Arial" w:hAnsi="Arial" w:cs="Arial"/>
          <w:sz w:val="20"/>
          <w:szCs w:val="20"/>
        </w:rPr>
        <w:t xml:space="preserve">Od preuzimanja </w:t>
      </w:r>
      <w:r w:rsidR="005308F0">
        <w:rPr>
          <w:rFonts w:ascii="Arial" w:hAnsi="Arial" w:cs="Arial"/>
          <w:sz w:val="20"/>
          <w:szCs w:val="20"/>
        </w:rPr>
        <w:t>upravljanja gradom</w:t>
      </w:r>
      <w:r w:rsidR="007243CF">
        <w:rPr>
          <w:rFonts w:ascii="Arial" w:hAnsi="Arial" w:cs="Arial"/>
          <w:sz w:val="20"/>
          <w:szCs w:val="20"/>
        </w:rPr>
        <w:t xml:space="preserve"> 2013. godine</w:t>
      </w:r>
      <w:r w:rsidR="005308F0">
        <w:rPr>
          <w:rFonts w:ascii="Arial" w:hAnsi="Arial" w:cs="Arial"/>
          <w:sz w:val="20"/>
          <w:szCs w:val="20"/>
        </w:rPr>
        <w:t xml:space="preserve">, gradska uprava je poduzetima radnjama </w:t>
      </w:r>
      <w:r w:rsidR="005D65E1">
        <w:rPr>
          <w:rFonts w:ascii="Arial" w:hAnsi="Arial" w:cs="Arial"/>
          <w:sz w:val="20"/>
          <w:szCs w:val="20"/>
        </w:rPr>
        <w:t>:</w:t>
      </w:r>
    </w:p>
    <w:p w:rsidR="005D65E1" w:rsidRDefault="005D65E1" w:rsidP="00B1127A">
      <w:pPr>
        <w:spacing w:after="0"/>
        <w:jc w:val="both"/>
        <w:rPr>
          <w:rFonts w:ascii="Arial" w:hAnsi="Arial" w:cs="Arial"/>
          <w:sz w:val="20"/>
          <w:szCs w:val="20"/>
        </w:rPr>
      </w:pPr>
    </w:p>
    <w:p w:rsidR="005D65E1" w:rsidRDefault="005D65E1" w:rsidP="005D65E1">
      <w:pPr>
        <w:pStyle w:val="Odlomakpopisa"/>
        <w:numPr>
          <w:ilvl w:val="0"/>
          <w:numId w:val="10"/>
        </w:numPr>
        <w:spacing w:after="0"/>
        <w:jc w:val="both"/>
        <w:rPr>
          <w:rFonts w:ascii="Arial" w:hAnsi="Arial" w:cs="Arial"/>
          <w:sz w:val="20"/>
          <w:szCs w:val="20"/>
        </w:rPr>
      </w:pPr>
      <w:r>
        <w:rPr>
          <w:rFonts w:ascii="Arial" w:hAnsi="Arial" w:cs="Arial"/>
          <w:sz w:val="20"/>
          <w:szCs w:val="20"/>
        </w:rPr>
        <w:t>sanirala nepovoljnu situaciju u odnosu sa Fondom, osigurala daljnje provođenje projekta</w:t>
      </w:r>
    </w:p>
    <w:p w:rsidR="007243CF" w:rsidRDefault="005D65E1" w:rsidP="005D65E1">
      <w:pPr>
        <w:pStyle w:val="Odlomakpopisa"/>
        <w:spacing w:after="0"/>
        <w:jc w:val="both"/>
        <w:rPr>
          <w:rFonts w:ascii="Arial" w:hAnsi="Arial" w:cs="Arial"/>
          <w:sz w:val="20"/>
          <w:szCs w:val="20"/>
        </w:rPr>
      </w:pPr>
      <w:r>
        <w:rPr>
          <w:rFonts w:ascii="Arial" w:hAnsi="Arial" w:cs="Arial"/>
          <w:sz w:val="20"/>
          <w:szCs w:val="20"/>
        </w:rPr>
        <w:t>rekonstrukcije javne rasvjete, sa točno utvrđenim uvjetima, financijskim iznosima i rokovima</w:t>
      </w:r>
      <w:r w:rsidR="007243CF">
        <w:rPr>
          <w:rFonts w:ascii="Arial" w:hAnsi="Arial" w:cs="Arial"/>
          <w:sz w:val="20"/>
          <w:szCs w:val="20"/>
        </w:rPr>
        <w:t>,</w:t>
      </w:r>
    </w:p>
    <w:p w:rsidR="005D65E1" w:rsidRDefault="007243CF" w:rsidP="005D65E1">
      <w:pPr>
        <w:pStyle w:val="Odlomakpopisa"/>
        <w:spacing w:after="0"/>
        <w:jc w:val="both"/>
        <w:rPr>
          <w:rFonts w:ascii="Arial" w:hAnsi="Arial" w:cs="Arial"/>
          <w:sz w:val="20"/>
          <w:szCs w:val="20"/>
        </w:rPr>
      </w:pPr>
      <w:r>
        <w:rPr>
          <w:rFonts w:ascii="Arial" w:hAnsi="Arial" w:cs="Arial"/>
          <w:sz w:val="20"/>
          <w:szCs w:val="20"/>
        </w:rPr>
        <w:t xml:space="preserve">te zaključno sa 30.09.2016. završila sve radove i ugovorne obaveze vezane uz projekt. </w:t>
      </w:r>
    </w:p>
    <w:p w:rsidR="005D65E1" w:rsidRDefault="005D65E1" w:rsidP="005D65E1">
      <w:pPr>
        <w:pStyle w:val="Odlomakpopisa"/>
        <w:numPr>
          <w:ilvl w:val="0"/>
          <w:numId w:val="10"/>
        </w:numPr>
        <w:spacing w:after="0"/>
        <w:jc w:val="both"/>
        <w:rPr>
          <w:rFonts w:ascii="Arial" w:hAnsi="Arial" w:cs="Arial"/>
          <w:sz w:val="20"/>
          <w:szCs w:val="20"/>
        </w:rPr>
      </w:pPr>
      <w:r>
        <w:rPr>
          <w:rFonts w:ascii="Arial" w:hAnsi="Arial" w:cs="Arial"/>
          <w:sz w:val="20"/>
          <w:szCs w:val="20"/>
        </w:rPr>
        <w:t>izvršila analizu sustava javne rasvjete</w:t>
      </w:r>
      <w:r w:rsidR="002B09DD">
        <w:rPr>
          <w:rFonts w:ascii="Arial" w:hAnsi="Arial" w:cs="Arial"/>
          <w:sz w:val="20"/>
          <w:szCs w:val="20"/>
        </w:rPr>
        <w:t xml:space="preserve">, te utvrdila točan broj, vrstu i snagu rasvjetnih tijela, izvore i lokacije napajanja, potrošnju električne energije, kao i način održavanja sustava  </w:t>
      </w:r>
    </w:p>
    <w:p w:rsidR="002B09DD" w:rsidRPr="002B09DD" w:rsidRDefault="005D65E1" w:rsidP="002B09DD">
      <w:pPr>
        <w:pStyle w:val="Odlomakpopisa"/>
        <w:numPr>
          <w:ilvl w:val="0"/>
          <w:numId w:val="10"/>
        </w:numPr>
        <w:spacing w:after="0"/>
        <w:jc w:val="both"/>
        <w:rPr>
          <w:rFonts w:ascii="Arial" w:hAnsi="Arial" w:cs="Arial"/>
          <w:sz w:val="20"/>
          <w:szCs w:val="20"/>
        </w:rPr>
      </w:pPr>
      <w:r w:rsidRPr="002B09DD">
        <w:rPr>
          <w:rFonts w:ascii="Arial" w:hAnsi="Arial" w:cs="Arial"/>
          <w:sz w:val="20"/>
          <w:szCs w:val="20"/>
        </w:rPr>
        <w:t>donijela Program održavanja javne rasvjete</w:t>
      </w:r>
      <w:r w:rsidR="002B09DD" w:rsidRPr="002B09DD">
        <w:rPr>
          <w:rFonts w:ascii="Arial" w:hAnsi="Arial" w:cs="Arial"/>
          <w:sz w:val="20"/>
          <w:szCs w:val="20"/>
        </w:rPr>
        <w:t>, sa jasno definiranim načinom održavanja sustava, te načinom prijave uočenih kvarova</w:t>
      </w:r>
    </w:p>
    <w:p w:rsidR="002B09DD" w:rsidRDefault="002B09DD" w:rsidP="00B1127A">
      <w:pPr>
        <w:pStyle w:val="Odlomakpopisa"/>
        <w:numPr>
          <w:ilvl w:val="0"/>
          <w:numId w:val="10"/>
        </w:numPr>
        <w:spacing w:after="0"/>
        <w:jc w:val="both"/>
        <w:rPr>
          <w:rFonts w:ascii="Arial" w:hAnsi="Arial" w:cs="Arial"/>
          <w:sz w:val="20"/>
          <w:szCs w:val="20"/>
        </w:rPr>
      </w:pPr>
      <w:r>
        <w:rPr>
          <w:rFonts w:ascii="Arial" w:hAnsi="Arial" w:cs="Arial"/>
          <w:sz w:val="20"/>
          <w:szCs w:val="20"/>
        </w:rPr>
        <w:t>pripremila realan troškovnik i ostale materijale za natječaj za održavanje javne rasvjete</w:t>
      </w:r>
      <w:r w:rsidR="007243CF">
        <w:rPr>
          <w:rFonts w:ascii="Arial" w:hAnsi="Arial" w:cs="Arial"/>
          <w:sz w:val="20"/>
          <w:szCs w:val="20"/>
        </w:rPr>
        <w:t>, na osnovu kojeg je odabrana tvrtka za održavanje javne rasvjete sukladno uvjetima natječaja</w:t>
      </w:r>
    </w:p>
    <w:p w:rsidR="00684C00" w:rsidRDefault="002B09DD" w:rsidP="00B1127A">
      <w:pPr>
        <w:pStyle w:val="Odlomakpopisa"/>
        <w:numPr>
          <w:ilvl w:val="0"/>
          <w:numId w:val="10"/>
        </w:numPr>
        <w:spacing w:after="0"/>
        <w:jc w:val="both"/>
        <w:rPr>
          <w:rFonts w:ascii="Arial" w:hAnsi="Arial" w:cs="Arial"/>
          <w:sz w:val="20"/>
          <w:szCs w:val="20"/>
        </w:rPr>
      </w:pPr>
      <w:r>
        <w:rPr>
          <w:rFonts w:ascii="Arial" w:hAnsi="Arial" w:cs="Arial"/>
          <w:sz w:val="20"/>
          <w:szCs w:val="20"/>
        </w:rPr>
        <w:t xml:space="preserve">pripremila </w:t>
      </w:r>
      <w:r w:rsidR="00684C00">
        <w:rPr>
          <w:rFonts w:ascii="Arial" w:hAnsi="Arial" w:cs="Arial"/>
          <w:sz w:val="20"/>
          <w:szCs w:val="20"/>
        </w:rPr>
        <w:t>realan troškovnik i ostale materijale za natječaj za isporuku električne energije</w:t>
      </w:r>
      <w:r w:rsidR="007243CF">
        <w:rPr>
          <w:rFonts w:ascii="Arial" w:hAnsi="Arial" w:cs="Arial"/>
          <w:sz w:val="20"/>
          <w:szCs w:val="20"/>
        </w:rPr>
        <w:t>, na osnovu kojeg je odabrana tvrtka-dobavljač za isporuku električne energije sukladno uvjetima javne nabave</w:t>
      </w:r>
    </w:p>
    <w:p w:rsidR="007243CF" w:rsidRDefault="007243CF" w:rsidP="00B1127A">
      <w:pPr>
        <w:pStyle w:val="Odlomakpopisa"/>
        <w:numPr>
          <w:ilvl w:val="0"/>
          <w:numId w:val="10"/>
        </w:numPr>
        <w:spacing w:after="0"/>
        <w:jc w:val="both"/>
        <w:rPr>
          <w:rFonts w:ascii="Arial" w:hAnsi="Arial" w:cs="Arial"/>
          <w:sz w:val="20"/>
          <w:szCs w:val="20"/>
        </w:rPr>
      </w:pPr>
      <w:r>
        <w:rPr>
          <w:rFonts w:ascii="Arial" w:hAnsi="Arial" w:cs="Arial"/>
          <w:sz w:val="20"/>
          <w:szCs w:val="20"/>
        </w:rPr>
        <w:t>kombinacija gore navedenih radnji rezultirala je :</w:t>
      </w:r>
    </w:p>
    <w:p w:rsidR="007243CF" w:rsidRDefault="007243CF" w:rsidP="007243CF">
      <w:pPr>
        <w:pStyle w:val="Odlomakpopisa"/>
        <w:numPr>
          <w:ilvl w:val="0"/>
          <w:numId w:val="12"/>
        </w:numPr>
        <w:spacing w:after="0"/>
        <w:jc w:val="both"/>
        <w:rPr>
          <w:rFonts w:ascii="Arial" w:hAnsi="Arial" w:cs="Arial"/>
          <w:sz w:val="20"/>
          <w:szCs w:val="20"/>
        </w:rPr>
      </w:pPr>
      <w:r>
        <w:rPr>
          <w:rFonts w:ascii="Arial" w:hAnsi="Arial" w:cs="Arial"/>
          <w:sz w:val="20"/>
          <w:szCs w:val="20"/>
        </w:rPr>
        <w:t>smanjenjem potrošnju el. energije za više od 20% (u odnosu na 2012.), gotovo 100.000,00 kn godišnje</w:t>
      </w:r>
    </w:p>
    <w:p w:rsidR="007243CF" w:rsidRPr="007243CF" w:rsidRDefault="007243CF" w:rsidP="007243CF">
      <w:pPr>
        <w:pStyle w:val="Odlomakpopisa"/>
        <w:numPr>
          <w:ilvl w:val="0"/>
          <w:numId w:val="12"/>
        </w:numPr>
        <w:spacing w:after="0"/>
        <w:jc w:val="both"/>
        <w:rPr>
          <w:rFonts w:ascii="Arial" w:hAnsi="Arial" w:cs="Arial"/>
          <w:sz w:val="20"/>
          <w:szCs w:val="20"/>
        </w:rPr>
      </w:pPr>
      <w:r>
        <w:rPr>
          <w:rFonts w:ascii="Arial" w:hAnsi="Arial" w:cs="Arial"/>
          <w:sz w:val="20"/>
          <w:szCs w:val="20"/>
        </w:rPr>
        <w:t>smanjenjem</w:t>
      </w:r>
      <w:r w:rsidRPr="007243CF">
        <w:rPr>
          <w:rFonts w:ascii="Arial" w:hAnsi="Arial" w:cs="Arial"/>
          <w:sz w:val="20"/>
          <w:szCs w:val="20"/>
        </w:rPr>
        <w:t xml:space="preserve"> troškov</w:t>
      </w:r>
      <w:r>
        <w:rPr>
          <w:rFonts w:ascii="Arial" w:hAnsi="Arial" w:cs="Arial"/>
          <w:sz w:val="20"/>
          <w:szCs w:val="20"/>
        </w:rPr>
        <w:t>a</w:t>
      </w:r>
      <w:r w:rsidRPr="007243CF">
        <w:rPr>
          <w:rFonts w:ascii="Arial" w:hAnsi="Arial" w:cs="Arial"/>
          <w:sz w:val="20"/>
          <w:szCs w:val="20"/>
        </w:rPr>
        <w:t xml:space="preserve"> održavanja za oko 50.000,00 kn godišnje</w:t>
      </w:r>
      <w:r w:rsidR="003A12AE">
        <w:rPr>
          <w:rFonts w:ascii="Arial" w:hAnsi="Arial" w:cs="Arial"/>
          <w:sz w:val="20"/>
          <w:szCs w:val="20"/>
        </w:rPr>
        <w:t>, pri čemu je održavanje investicijsko (u sklopu održavanja se mijenjaju razdjelnici napajanja i upravljanja MRO-JR).</w:t>
      </w:r>
    </w:p>
    <w:p w:rsidR="007243CF" w:rsidRPr="007243CF" w:rsidRDefault="007243CF" w:rsidP="007243CF">
      <w:pPr>
        <w:spacing w:after="0"/>
        <w:jc w:val="both"/>
        <w:rPr>
          <w:rFonts w:ascii="Arial" w:hAnsi="Arial" w:cs="Arial"/>
          <w:sz w:val="20"/>
          <w:szCs w:val="20"/>
        </w:rPr>
      </w:pPr>
    </w:p>
    <w:p w:rsidR="00684C00" w:rsidRDefault="00684C00" w:rsidP="00684C00">
      <w:pPr>
        <w:spacing w:after="0"/>
        <w:jc w:val="both"/>
        <w:rPr>
          <w:rFonts w:ascii="Arial" w:hAnsi="Arial" w:cs="Arial"/>
          <w:sz w:val="20"/>
          <w:szCs w:val="20"/>
        </w:rPr>
      </w:pPr>
    </w:p>
    <w:p w:rsidR="002B09DD" w:rsidRPr="00684C00" w:rsidRDefault="00684C00" w:rsidP="00684C00">
      <w:pPr>
        <w:spacing w:after="0"/>
        <w:jc w:val="both"/>
        <w:rPr>
          <w:rFonts w:ascii="Arial" w:hAnsi="Arial" w:cs="Arial"/>
          <w:sz w:val="20"/>
          <w:szCs w:val="20"/>
        </w:rPr>
      </w:pPr>
      <w:r>
        <w:rPr>
          <w:rFonts w:ascii="Arial" w:hAnsi="Arial" w:cs="Arial"/>
          <w:sz w:val="20"/>
          <w:szCs w:val="20"/>
        </w:rPr>
        <w:t>Na osnovu svih poduzetih radnji po završetku provođenja projekta rekonstrukcije, javna</w:t>
      </w:r>
      <w:r w:rsidR="003A12AE">
        <w:rPr>
          <w:rFonts w:ascii="Arial" w:hAnsi="Arial" w:cs="Arial"/>
          <w:sz w:val="20"/>
          <w:szCs w:val="20"/>
        </w:rPr>
        <w:t xml:space="preserve"> rasvjeta na području grada je</w:t>
      </w:r>
      <w:r>
        <w:rPr>
          <w:rFonts w:ascii="Arial" w:hAnsi="Arial" w:cs="Arial"/>
          <w:sz w:val="20"/>
          <w:szCs w:val="20"/>
        </w:rPr>
        <w:t xml:space="preserve"> u potpunosti funkcionalna (razumno upravljanje), energetski učinkovita</w:t>
      </w:r>
      <w:r w:rsidR="00D6032C">
        <w:rPr>
          <w:rFonts w:ascii="Arial" w:hAnsi="Arial" w:cs="Arial"/>
          <w:sz w:val="20"/>
          <w:szCs w:val="20"/>
        </w:rPr>
        <w:t xml:space="preserve"> (racionalna potrošnja), u skladu sa zakonskim i tehničkim propisima (razina i intenzitet osvijetljenosti, smanjeno svjetlosno zagađenje), uz minimalne troškove održavanja. </w:t>
      </w:r>
    </w:p>
    <w:p w:rsidR="007C5449" w:rsidRDefault="007C5449" w:rsidP="00B1127A">
      <w:pPr>
        <w:spacing w:after="0"/>
        <w:jc w:val="both"/>
        <w:rPr>
          <w:rFonts w:ascii="Arial" w:hAnsi="Arial" w:cs="Arial"/>
          <w:sz w:val="20"/>
          <w:szCs w:val="20"/>
        </w:rPr>
      </w:pPr>
    </w:p>
    <w:p w:rsidR="00F2639A" w:rsidRPr="00F2639A" w:rsidRDefault="00F2639A" w:rsidP="00DB26D3">
      <w:pPr>
        <w:spacing w:after="0"/>
        <w:jc w:val="both"/>
        <w:rPr>
          <w:rFonts w:ascii="Arial" w:hAnsi="Arial" w:cs="Arial"/>
          <w:sz w:val="20"/>
          <w:szCs w:val="20"/>
        </w:rPr>
      </w:pPr>
    </w:p>
    <w:p w:rsidR="00F2639A" w:rsidRPr="00F2639A" w:rsidRDefault="00F2639A" w:rsidP="00DB26D3">
      <w:pPr>
        <w:spacing w:after="0"/>
        <w:jc w:val="both"/>
        <w:rPr>
          <w:rFonts w:ascii="Arial" w:hAnsi="Arial" w:cs="Arial"/>
          <w:sz w:val="20"/>
          <w:szCs w:val="20"/>
        </w:rPr>
      </w:pP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t>Zamjenik gradonačelnika</w:t>
      </w:r>
    </w:p>
    <w:p w:rsidR="00F2639A" w:rsidRPr="00F2639A" w:rsidRDefault="00F2639A" w:rsidP="00DB26D3">
      <w:pPr>
        <w:spacing w:after="0"/>
        <w:jc w:val="both"/>
        <w:rPr>
          <w:rFonts w:ascii="Arial" w:hAnsi="Arial" w:cs="Arial"/>
          <w:sz w:val="20"/>
          <w:szCs w:val="20"/>
        </w:rPr>
      </w:pP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r>
      <w:r w:rsidRPr="00F2639A">
        <w:rPr>
          <w:rFonts w:ascii="Arial" w:hAnsi="Arial" w:cs="Arial"/>
          <w:sz w:val="20"/>
          <w:szCs w:val="20"/>
        </w:rPr>
        <w:tab/>
        <w:t>Ivan Škrinjar, ing.el.</w:t>
      </w:r>
    </w:p>
    <w:sectPr w:rsidR="00F2639A" w:rsidRPr="00F2639A" w:rsidSect="00997FE0">
      <w:headerReference w:type="default" r:id="rId22"/>
      <w:footerReference w:type="default" r:id="rId23"/>
      <w:pgSz w:w="11906" w:h="16838"/>
      <w:pgMar w:top="567" w:right="567"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3FD" w:rsidRDefault="00FB53FD" w:rsidP="000A67D6">
      <w:pPr>
        <w:spacing w:after="0" w:line="240" w:lineRule="auto"/>
      </w:pPr>
      <w:r>
        <w:separator/>
      </w:r>
    </w:p>
  </w:endnote>
  <w:endnote w:type="continuationSeparator" w:id="1">
    <w:p w:rsidR="00FB53FD" w:rsidRDefault="00FB53FD" w:rsidP="000A6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133970"/>
      <w:docPartObj>
        <w:docPartGallery w:val="Page Numbers (Bottom of Page)"/>
        <w:docPartUnique/>
      </w:docPartObj>
    </w:sdtPr>
    <w:sdtEndPr>
      <w:rPr>
        <w:noProof/>
      </w:rPr>
    </w:sdtEndPr>
    <w:sdtContent>
      <w:p w:rsidR="000A67D6" w:rsidRDefault="000A67D6" w:rsidP="000A67D6">
        <w:pPr>
          <w:pStyle w:val="Podnoje"/>
          <w:pBdr>
            <w:top w:val="single" w:sz="4" w:space="1" w:color="auto"/>
          </w:pBdr>
          <w:jc w:val="center"/>
        </w:pPr>
        <w:r>
          <w:t xml:space="preserve">stranica </w:t>
        </w:r>
        <w:r w:rsidR="00A00A42">
          <w:fldChar w:fldCharType="begin"/>
        </w:r>
        <w:r>
          <w:instrText xml:space="preserve"> PAGE   \* MERGEFORMAT </w:instrText>
        </w:r>
        <w:r w:rsidR="00A00A42">
          <w:fldChar w:fldCharType="separate"/>
        </w:r>
        <w:r w:rsidR="00EC389C">
          <w:rPr>
            <w:noProof/>
          </w:rPr>
          <w:t>3</w:t>
        </w:r>
        <w:r w:rsidR="00A00A42">
          <w:rPr>
            <w:noProof/>
          </w:rPr>
          <w:fldChar w:fldCharType="end"/>
        </w:r>
        <w:r w:rsidR="00AB36AE">
          <w:rPr>
            <w:noProof/>
          </w:rPr>
          <w:t xml:space="preserve"> od </w:t>
        </w:r>
        <w:r w:rsidR="0011640A">
          <w:rPr>
            <w:noProof/>
          </w:rPr>
          <w:t>5</w:t>
        </w:r>
      </w:p>
    </w:sdtContent>
  </w:sdt>
  <w:p w:rsidR="000A67D6" w:rsidRDefault="000A67D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3FD" w:rsidRDefault="00FB53FD" w:rsidP="000A67D6">
      <w:pPr>
        <w:spacing w:after="0" w:line="240" w:lineRule="auto"/>
      </w:pPr>
      <w:r>
        <w:separator/>
      </w:r>
    </w:p>
  </w:footnote>
  <w:footnote w:type="continuationSeparator" w:id="1">
    <w:p w:rsidR="00FB53FD" w:rsidRDefault="00FB53FD" w:rsidP="000A6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D6" w:rsidRDefault="000A67D6" w:rsidP="000A67D6">
    <w:pPr>
      <w:pStyle w:val="Zaglavlje"/>
      <w:pBdr>
        <w:bottom w:val="single" w:sz="4" w:space="1" w:color="auto"/>
      </w:pBdr>
      <w:jc w:val="center"/>
    </w:pPr>
    <w:r>
      <w:t>Grad Pregrada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11A"/>
    <w:multiLevelType w:val="hybridMultilevel"/>
    <w:tmpl w:val="CF84717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A120A60"/>
    <w:multiLevelType w:val="hybridMultilevel"/>
    <w:tmpl w:val="FC82A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DB00D7"/>
    <w:multiLevelType w:val="hybridMultilevel"/>
    <w:tmpl w:val="E0B65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A02470"/>
    <w:multiLevelType w:val="hybridMultilevel"/>
    <w:tmpl w:val="764A5D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11A0BE4"/>
    <w:multiLevelType w:val="hybridMultilevel"/>
    <w:tmpl w:val="FC82A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654645E"/>
    <w:multiLevelType w:val="hybridMultilevel"/>
    <w:tmpl w:val="B3C88C5E"/>
    <w:lvl w:ilvl="0" w:tplc="AFEED6C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nsid w:val="41F170E9"/>
    <w:multiLevelType w:val="hybridMultilevel"/>
    <w:tmpl w:val="4676B2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E7228A0"/>
    <w:multiLevelType w:val="hybridMultilevel"/>
    <w:tmpl w:val="6ADCD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F993CEF"/>
    <w:multiLevelType w:val="hybridMultilevel"/>
    <w:tmpl w:val="E0B65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D9A699F"/>
    <w:multiLevelType w:val="hybridMultilevel"/>
    <w:tmpl w:val="FC82A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4FB20A9"/>
    <w:multiLevelType w:val="hybridMultilevel"/>
    <w:tmpl w:val="E0B65F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785D4B39"/>
    <w:multiLevelType w:val="hybridMultilevel"/>
    <w:tmpl w:val="83A0335E"/>
    <w:lvl w:ilvl="0" w:tplc="1292E64C">
      <w:start w:val="1"/>
      <w:numFmt w:val="bullet"/>
      <w:lvlText w:val=""/>
      <w:lvlJc w:val="left"/>
      <w:pPr>
        <w:ind w:left="720" w:hanging="360"/>
      </w:pPr>
      <w:rPr>
        <w:rFonts w:ascii="Symbol" w:eastAsiaTheme="minorHAns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0"/>
  </w:num>
  <w:num w:numId="5">
    <w:abstractNumId w:val="5"/>
  </w:num>
  <w:num w:numId="6">
    <w:abstractNumId w:val="10"/>
  </w:num>
  <w:num w:numId="7">
    <w:abstractNumId w:val="8"/>
  </w:num>
  <w:num w:numId="8">
    <w:abstractNumId w:val="3"/>
  </w:num>
  <w:num w:numId="9">
    <w:abstractNumId w:val="2"/>
  </w:num>
  <w:num w:numId="10">
    <w:abstractNumId w:val="6"/>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1127A"/>
    <w:rsid w:val="0008516F"/>
    <w:rsid w:val="00087DE4"/>
    <w:rsid w:val="00090197"/>
    <w:rsid w:val="000A67D6"/>
    <w:rsid w:val="000C428C"/>
    <w:rsid w:val="0011640A"/>
    <w:rsid w:val="001E3C3D"/>
    <w:rsid w:val="00254E73"/>
    <w:rsid w:val="002B09DD"/>
    <w:rsid w:val="002F2E0C"/>
    <w:rsid w:val="00306FF4"/>
    <w:rsid w:val="00350767"/>
    <w:rsid w:val="003A12AE"/>
    <w:rsid w:val="003C1C58"/>
    <w:rsid w:val="003D4A2A"/>
    <w:rsid w:val="00444A41"/>
    <w:rsid w:val="0045705D"/>
    <w:rsid w:val="004C61CE"/>
    <w:rsid w:val="00517313"/>
    <w:rsid w:val="005308F0"/>
    <w:rsid w:val="00543D40"/>
    <w:rsid w:val="005556C1"/>
    <w:rsid w:val="00575DBA"/>
    <w:rsid w:val="0058117B"/>
    <w:rsid w:val="005D65E1"/>
    <w:rsid w:val="00670E47"/>
    <w:rsid w:val="00684C00"/>
    <w:rsid w:val="00695F51"/>
    <w:rsid w:val="00710B71"/>
    <w:rsid w:val="00713199"/>
    <w:rsid w:val="00714328"/>
    <w:rsid w:val="007243CF"/>
    <w:rsid w:val="00726054"/>
    <w:rsid w:val="00743B1B"/>
    <w:rsid w:val="007C5449"/>
    <w:rsid w:val="007E59AB"/>
    <w:rsid w:val="008369FD"/>
    <w:rsid w:val="008A7085"/>
    <w:rsid w:val="008E5CFF"/>
    <w:rsid w:val="008F78D5"/>
    <w:rsid w:val="00997FE0"/>
    <w:rsid w:val="009C25C4"/>
    <w:rsid w:val="009E6D0F"/>
    <w:rsid w:val="00A00A42"/>
    <w:rsid w:val="00A73E3A"/>
    <w:rsid w:val="00A931AE"/>
    <w:rsid w:val="00AB36AE"/>
    <w:rsid w:val="00B1127A"/>
    <w:rsid w:val="00B428DF"/>
    <w:rsid w:val="00B57208"/>
    <w:rsid w:val="00B72EA9"/>
    <w:rsid w:val="00C57996"/>
    <w:rsid w:val="00D43460"/>
    <w:rsid w:val="00D46E4E"/>
    <w:rsid w:val="00D6032C"/>
    <w:rsid w:val="00D8670F"/>
    <w:rsid w:val="00DB26D3"/>
    <w:rsid w:val="00EC389C"/>
    <w:rsid w:val="00F17EE2"/>
    <w:rsid w:val="00F2639A"/>
    <w:rsid w:val="00F37B08"/>
    <w:rsid w:val="00F66990"/>
    <w:rsid w:val="00F96B2C"/>
    <w:rsid w:val="00FB53FD"/>
    <w:rsid w:val="00FC2F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4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1127A"/>
    <w:pPr>
      <w:ind w:left="720"/>
      <w:contextualSpacing/>
    </w:pPr>
  </w:style>
  <w:style w:type="paragraph" w:styleId="Zaglavlje">
    <w:name w:val="header"/>
    <w:basedOn w:val="Normal"/>
    <w:link w:val="ZaglavljeChar"/>
    <w:uiPriority w:val="99"/>
    <w:unhideWhenUsed/>
    <w:rsid w:val="000A67D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67D6"/>
  </w:style>
  <w:style w:type="paragraph" w:styleId="Podnoje">
    <w:name w:val="footer"/>
    <w:basedOn w:val="Normal"/>
    <w:link w:val="PodnojeChar"/>
    <w:uiPriority w:val="99"/>
    <w:unhideWhenUsed/>
    <w:rsid w:val="000A67D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67D6"/>
  </w:style>
  <w:style w:type="table" w:styleId="Reetkatablice">
    <w:name w:val="Table Grid"/>
    <w:basedOn w:val="Obinatablica"/>
    <w:uiPriority w:val="39"/>
    <w:rsid w:val="00C57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2029524089">
          <w:marLeft w:val="0"/>
          <w:marRight w:val="0"/>
          <w:marTop w:val="0"/>
          <w:marBottom w:val="0"/>
          <w:divBdr>
            <w:top w:val="none" w:sz="0" w:space="0" w:color="auto"/>
            <w:left w:val="none" w:sz="0" w:space="0" w:color="auto"/>
            <w:bottom w:val="none" w:sz="0" w:space="0" w:color="auto"/>
            <w:right w:val="none" w:sz="0" w:space="0" w:color="auto"/>
          </w:divBdr>
          <w:divsChild>
            <w:div w:id="974214677">
              <w:marLeft w:val="0"/>
              <w:marRight w:val="0"/>
              <w:marTop w:val="0"/>
              <w:marBottom w:val="0"/>
              <w:divBdr>
                <w:top w:val="none" w:sz="0" w:space="0" w:color="auto"/>
                <w:left w:val="none" w:sz="0" w:space="0" w:color="auto"/>
                <w:bottom w:val="none" w:sz="0" w:space="0" w:color="auto"/>
                <w:right w:val="none" w:sz="0" w:space="0" w:color="auto"/>
              </w:divBdr>
              <w:divsChild>
                <w:div w:id="1058095718">
                  <w:marLeft w:val="0"/>
                  <w:marRight w:val="0"/>
                  <w:marTop w:val="0"/>
                  <w:marBottom w:val="0"/>
                  <w:divBdr>
                    <w:top w:val="none" w:sz="0" w:space="0" w:color="auto"/>
                    <w:left w:val="none" w:sz="0" w:space="0" w:color="auto"/>
                    <w:bottom w:val="none" w:sz="0" w:space="0" w:color="auto"/>
                    <w:right w:val="none" w:sz="0" w:space="0" w:color="auto"/>
                  </w:divBdr>
                </w:div>
                <w:div w:id="1822110669">
                  <w:marLeft w:val="0"/>
                  <w:marRight w:val="0"/>
                  <w:marTop w:val="0"/>
                  <w:marBottom w:val="0"/>
                  <w:divBdr>
                    <w:top w:val="none" w:sz="0" w:space="0" w:color="auto"/>
                    <w:left w:val="none" w:sz="0" w:space="0" w:color="auto"/>
                    <w:bottom w:val="none" w:sz="0" w:space="0" w:color="auto"/>
                    <w:right w:val="none" w:sz="0" w:space="0" w:color="auto"/>
                  </w:divBdr>
                </w:div>
                <w:div w:id="1225096845">
                  <w:marLeft w:val="0"/>
                  <w:marRight w:val="0"/>
                  <w:marTop w:val="0"/>
                  <w:marBottom w:val="0"/>
                  <w:divBdr>
                    <w:top w:val="none" w:sz="0" w:space="0" w:color="auto"/>
                    <w:left w:val="none" w:sz="0" w:space="0" w:color="auto"/>
                    <w:bottom w:val="none" w:sz="0" w:space="0" w:color="auto"/>
                    <w:right w:val="none" w:sz="0" w:space="0" w:color="auto"/>
                  </w:divBdr>
                </w:div>
                <w:div w:id="306712277">
                  <w:marLeft w:val="0"/>
                  <w:marRight w:val="0"/>
                  <w:marTop w:val="0"/>
                  <w:marBottom w:val="0"/>
                  <w:divBdr>
                    <w:top w:val="none" w:sz="0" w:space="0" w:color="auto"/>
                    <w:left w:val="none" w:sz="0" w:space="0" w:color="auto"/>
                    <w:bottom w:val="none" w:sz="0" w:space="0" w:color="auto"/>
                    <w:right w:val="none" w:sz="0" w:space="0" w:color="auto"/>
                  </w:divBdr>
                </w:div>
                <w:div w:id="355693801">
                  <w:marLeft w:val="0"/>
                  <w:marRight w:val="0"/>
                  <w:marTop w:val="0"/>
                  <w:marBottom w:val="0"/>
                  <w:divBdr>
                    <w:top w:val="none" w:sz="0" w:space="0" w:color="auto"/>
                    <w:left w:val="none" w:sz="0" w:space="0" w:color="auto"/>
                    <w:bottom w:val="none" w:sz="0" w:space="0" w:color="auto"/>
                    <w:right w:val="none" w:sz="0" w:space="0" w:color="auto"/>
                  </w:divBdr>
                </w:div>
                <w:div w:id="950746792">
                  <w:marLeft w:val="0"/>
                  <w:marRight w:val="0"/>
                  <w:marTop w:val="0"/>
                  <w:marBottom w:val="0"/>
                  <w:divBdr>
                    <w:top w:val="none" w:sz="0" w:space="0" w:color="auto"/>
                    <w:left w:val="none" w:sz="0" w:space="0" w:color="auto"/>
                    <w:bottom w:val="none" w:sz="0" w:space="0" w:color="auto"/>
                    <w:right w:val="none" w:sz="0" w:space="0" w:color="auto"/>
                  </w:divBdr>
                </w:div>
                <w:div w:id="10152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Radni_list_programa_Microsoft_Office_Excel3.xlsx"/><Relationship Id="rId18" Type="http://schemas.openxmlformats.org/officeDocument/2006/relationships/package" Target="embeddings/Radni_list_programa_Microsoft_Office_Excel5.xlsx"/><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package" Target="embeddings/Radni_list_programa_Microsoft_Office_Excel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Radni_list_programa_Microsoft_Office_Excel2.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Radni_list_programa_Microsoft_Office_Excel4.xls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Radni_list_programa_Microsoft_Office_Excel1.xlsx"/><Relationship Id="rId14" Type="http://schemas.openxmlformats.org/officeDocument/2006/relationships/image" Target="media/image4.e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ETIM\GRAD%20PREGRADA\JR%20Pregrada\JR%20Pregrada_KONA&#268;NO%20IZVJE&#352;&#262;E\Grad%20Pregrada%20-%20rekapitulacija%20JR%202006-2016_ra&#269;uni%20odr&#382;avanja_30-09-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TIM\GRAD%20PREGRADA\JR%20Pregrada\JR%20Pregrada_KONA&#268;NO%20IZVJE&#352;&#262;E\Grad%20Pregrada%20-%20rekapitulacija%20JR%202006-2016_ra&#269;uni%20odr&#382;avanja_30-09-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hr-HR"/>
              <a:t>sveukupno broj komada / sati rada</a:t>
            </a:r>
          </a:p>
        </c:rich>
      </c:tx>
      <c:spPr>
        <a:noFill/>
        <a:ln>
          <a:noFill/>
        </a:ln>
        <a:effectLst/>
      </c:spPr>
    </c:title>
    <c:plotArea>
      <c:layout>
        <c:manualLayout>
          <c:layoutTarget val="inner"/>
          <c:xMode val="edge"/>
          <c:yMode val="edge"/>
          <c:x val="4.864302448127486E-2"/>
          <c:y val="0.10126984126984127"/>
          <c:w val="0.90271395103745"/>
          <c:h val="0.71561759325538865"/>
        </c:manualLayout>
      </c:layout>
      <c:barChart>
        <c:barDir val="col"/>
        <c:grouping val="clustered"/>
        <c:ser>
          <c:idx val="0"/>
          <c:order val="0"/>
          <c:tx>
            <c:strRef>
              <c:f>Rekapitulacija!$B$4</c:f>
              <c:strCache>
                <c:ptCount val="1"/>
                <c:pt idx="0">
                  <c:v>UKUPNO ŽARULJA / kom</c:v>
                </c:pt>
              </c:strCache>
            </c:strRef>
          </c:tx>
          <c:spPr>
            <a:solidFill>
              <a:schemeClr val="accent1"/>
            </a:solidFill>
            <a:ln>
              <a:noFill/>
            </a:ln>
            <a:effectLst/>
          </c:spPr>
          <c:cat>
            <c:numRef>
              <c:f>Rekapitulacija!$C$3:$M$3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Rekapitulacija!$C$4:$M$4</c:f>
              <c:numCache>
                <c:formatCode>General</c:formatCode>
                <c:ptCount val="11"/>
                <c:pt idx="0">
                  <c:v>15</c:v>
                </c:pt>
                <c:pt idx="1">
                  <c:v>80</c:v>
                </c:pt>
                <c:pt idx="2">
                  <c:v>248</c:v>
                </c:pt>
                <c:pt idx="3">
                  <c:v>436</c:v>
                </c:pt>
                <c:pt idx="4">
                  <c:v>506</c:v>
                </c:pt>
                <c:pt idx="5">
                  <c:v>815</c:v>
                </c:pt>
                <c:pt idx="6">
                  <c:v>236</c:v>
                </c:pt>
                <c:pt idx="7">
                  <c:v>135</c:v>
                </c:pt>
                <c:pt idx="8">
                  <c:v>79</c:v>
                </c:pt>
                <c:pt idx="9">
                  <c:v>33</c:v>
                </c:pt>
                <c:pt idx="10">
                  <c:v>16</c:v>
                </c:pt>
              </c:numCache>
            </c:numRef>
          </c:val>
        </c:ser>
        <c:ser>
          <c:idx val="1"/>
          <c:order val="1"/>
          <c:tx>
            <c:strRef>
              <c:f>Rekapitulacija!$B$5</c:f>
              <c:strCache>
                <c:ptCount val="1"/>
                <c:pt idx="0">
                  <c:v>UKUPNO PRIGUŠNICA / kom</c:v>
                </c:pt>
              </c:strCache>
            </c:strRef>
          </c:tx>
          <c:spPr>
            <a:solidFill>
              <a:schemeClr val="accent2"/>
            </a:solidFill>
            <a:ln>
              <a:noFill/>
            </a:ln>
            <a:effectLst/>
          </c:spPr>
          <c:cat>
            <c:numRef>
              <c:f>Rekapitulacija!$C$3:$M$3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Rekapitulacija!$C$5:$M$5</c:f>
              <c:numCache>
                <c:formatCode>General</c:formatCode>
                <c:ptCount val="11"/>
                <c:pt idx="0">
                  <c:v>20</c:v>
                </c:pt>
                <c:pt idx="1">
                  <c:v>131</c:v>
                </c:pt>
                <c:pt idx="2">
                  <c:v>123</c:v>
                </c:pt>
                <c:pt idx="3">
                  <c:v>276</c:v>
                </c:pt>
                <c:pt idx="4">
                  <c:v>348</c:v>
                </c:pt>
                <c:pt idx="5">
                  <c:v>655</c:v>
                </c:pt>
                <c:pt idx="6">
                  <c:v>249</c:v>
                </c:pt>
                <c:pt idx="7">
                  <c:v>49</c:v>
                </c:pt>
                <c:pt idx="8">
                  <c:v>22</c:v>
                </c:pt>
                <c:pt idx="9">
                  <c:v>8</c:v>
                </c:pt>
                <c:pt idx="10">
                  <c:v>2</c:v>
                </c:pt>
              </c:numCache>
            </c:numRef>
          </c:val>
        </c:ser>
        <c:axId val="110737280"/>
        <c:axId val="110738816"/>
      </c:barChart>
      <c:lineChart>
        <c:grouping val="standard"/>
        <c:ser>
          <c:idx val="2"/>
          <c:order val="2"/>
          <c:tx>
            <c:strRef>
              <c:f>Rekapitulacija!$B$6</c:f>
              <c:strCache>
                <c:ptCount val="1"/>
                <c:pt idx="0">
                  <c:v>Utrošeno radnih sati / sati</c:v>
                </c:pt>
              </c:strCache>
            </c:strRef>
          </c:tx>
          <c:spPr>
            <a:ln w="28575" cap="rnd">
              <a:solidFill>
                <a:schemeClr val="accent3"/>
              </a:solidFill>
              <a:round/>
            </a:ln>
            <a:effectLst/>
          </c:spPr>
          <c:marker>
            <c:symbol val="none"/>
          </c:marker>
          <c:cat>
            <c:numRef>
              <c:f>Rekapitulacija!$C$3:$M$3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Rekapitulacija!$C$6:$M$6</c:f>
              <c:numCache>
                <c:formatCode>General</c:formatCode>
                <c:ptCount val="11"/>
                <c:pt idx="0">
                  <c:v>148</c:v>
                </c:pt>
                <c:pt idx="1">
                  <c:v>451</c:v>
                </c:pt>
                <c:pt idx="2">
                  <c:v>714</c:v>
                </c:pt>
                <c:pt idx="3">
                  <c:v>508</c:v>
                </c:pt>
                <c:pt idx="4">
                  <c:v>288</c:v>
                </c:pt>
                <c:pt idx="5">
                  <c:v>374</c:v>
                </c:pt>
                <c:pt idx="6">
                  <c:v>248</c:v>
                </c:pt>
                <c:pt idx="7">
                  <c:v>498</c:v>
                </c:pt>
                <c:pt idx="8">
                  <c:v>260</c:v>
                </c:pt>
                <c:pt idx="9">
                  <c:v>40</c:v>
                </c:pt>
                <c:pt idx="10">
                  <c:v>20</c:v>
                </c:pt>
              </c:numCache>
            </c:numRef>
          </c:val>
        </c:ser>
        <c:ser>
          <c:idx val="3"/>
          <c:order val="3"/>
          <c:tx>
            <c:strRef>
              <c:f>Rekapitulacija!$B$7</c:f>
              <c:strCache>
                <c:ptCount val="1"/>
                <c:pt idx="0">
                  <c:v>Utrošeno radnih sati platformske dizalice/ sati</c:v>
                </c:pt>
              </c:strCache>
            </c:strRef>
          </c:tx>
          <c:spPr>
            <a:ln w="28575" cap="rnd">
              <a:solidFill>
                <a:schemeClr val="accent4"/>
              </a:solidFill>
              <a:round/>
            </a:ln>
            <a:effectLst/>
          </c:spPr>
          <c:marker>
            <c:symbol val="none"/>
          </c:marker>
          <c:cat>
            <c:numRef>
              <c:f>Rekapitulacija!$C$3:$M$3</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Rekapitulacija!$C$7:$M$7</c:f>
              <c:numCache>
                <c:formatCode>General</c:formatCode>
                <c:ptCount val="11"/>
                <c:pt idx="0">
                  <c:v>98</c:v>
                </c:pt>
                <c:pt idx="1">
                  <c:v>271</c:v>
                </c:pt>
                <c:pt idx="2">
                  <c:v>286</c:v>
                </c:pt>
                <c:pt idx="3">
                  <c:v>208</c:v>
                </c:pt>
                <c:pt idx="4">
                  <c:v>139</c:v>
                </c:pt>
                <c:pt idx="5">
                  <c:v>212</c:v>
                </c:pt>
                <c:pt idx="6">
                  <c:v>140</c:v>
                </c:pt>
                <c:pt idx="7">
                  <c:v>221</c:v>
                </c:pt>
                <c:pt idx="8">
                  <c:v>103</c:v>
                </c:pt>
                <c:pt idx="9">
                  <c:v>38</c:v>
                </c:pt>
                <c:pt idx="10">
                  <c:v>20</c:v>
                </c:pt>
              </c:numCache>
            </c:numRef>
          </c:val>
        </c:ser>
        <c:marker val="1"/>
        <c:axId val="110746240"/>
        <c:axId val="110744704"/>
      </c:lineChart>
      <c:catAx>
        <c:axId val="110737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10738816"/>
        <c:crosses val="autoZero"/>
        <c:auto val="1"/>
        <c:lblAlgn val="ctr"/>
        <c:lblOffset val="100"/>
        <c:tickLblSkip val="1"/>
      </c:catAx>
      <c:valAx>
        <c:axId val="1107388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in"/>
        <c:minorTickMark val="out"/>
        <c:tickLblPos val="nextTo"/>
        <c:spPr>
          <a:noFill/>
          <a:ln>
            <a:solidFill>
              <a:schemeClr val="accent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10737280"/>
        <c:crossesAt val="1"/>
        <c:crossBetween val="between"/>
      </c:valAx>
      <c:valAx>
        <c:axId val="110744704"/>
        <c:scaling>
          <c:orientation val="minMax"/>
        </c:scaling>
        <c:axPos val="r"/>
        <c:numFmt formatCode="General" sourceLinked="1"/>
        <c:majorTickMark val="in"/>
        <c:minorTickMark val="out"/>
        <c:tickLblPos val="nextTo"/>
        <c:spPr>
          <a:noFill/>
          <a:ln>
            <a:solidFill>
              <a:schemeClr val="accent1"/>
            </a:solid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10746240"/>
        <c:crosses val="max"/>
        <c:crossBetween val="between"/>
      </c:valAx>
      <c:catAx>
        <c:axId val="110746240"/>
        <c:scaling>
          <c:orientation val="minMax"/>
        </c:scaling>
        <c:delete val="1"/>
        <c:axPos val="b"/>
        <c:numFmt formatCode="General" sourceLinked="1"/>
        <c:majorTickMark val="none"/>
        <c:tickLblPos val="nextTo"/>
        <c:crossAx val="11074470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r-HR"/>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hr-HR"/>
              <a:t>Troškovi javne rasvjete od 2006. do 2014.</a:t>
            </a:r>
          </a:p>
        </c:rich>
      </c:tx>
      <c:spPr>
        <a:noFill/>
        <a:ln>
          <a:noFill/>
        </a:ln>
        <a:effectLst/>
      </c:spPr>
    </c:title>
    <c:plotArea>
      <c:layout/>
      <c:barChart>
        <c:barDir val="col"/>
        <c:grouping val="clustered"/>
        <c:ser>
          <c:idx val="0"/>
          <c:order val="0"/>
          <c:tx>
            <c:strRef>
              <c:f>Rekapitulacija!$B$44</c:f>
              <c:strCache>
                <c:ptCount val="1"/>
                <c:pt idx="0">
                  <c:v>JR - električna energija</c:v>
                </c:pt>
              </c:strCache>
            </c:strRef>
          </c:tx>
          <c:spPr>
            <a:solidFill>
              <a:schemeClr val="accent1"/>
            </a:solidFill>
            <a:ln>
              <a:noFill/>
            </a:ln>
            <a:effectLst/>
          </c:spPr>
          <c:trendline>
            <c:spPr>
              <a:ln w="19050" cap="rnd">
                <a:solidFill>
                  <a:schemeClr val="accent1"/>
                </a:solidFill>
                <a:prstDash val="sysDot"/>
              </a:ln>
              <a:effectLst/>
            </c:spPr>
            <c:trendlineType val="movingAvg"/>
            <c:period val="2"/>
          </c:trendline>
          <c:cat>
            <c:strRef>
              <c:f>Rekapitulacija!$C$43:$M$43</c:f>
              <c:strCache>
                <c:ptCount val="11"/>
                <c:pt idx="0">
                  <c:v>2006</c:v>
                </c:pt>
                <c:pt idx="1">
                  <c:v>2007</c:v>
                </c:pt>
                <c:pt idx="2">
                  <c:v>2008</c:v>
                </c:pt>
                <c:pt idx="3">
                  <c:v>2009</c:v>
                </c:pt>
                <c:pt idx="4">
                  <c:v>2010</c:v>
                </c:pt>
                <c:pt idx="5">
                  <c:v>2011</c:v>
                </c:pt>
                <c:pt idx="6">
                  <c:v>2012</c:v>
                </c:pt>
                <c:pt idx="7">
                  <c:v>2013</c:v>
                </c:pt>
                <c:pt idx="8">
                  <c:v>2014</c:v>
                </c:pt>
                <c:pt idx="9">
                  <c:v>2015</c:v>
                </c:pt>
                <c:pt idx="10">
                  <c:v>9/2016.</c:v>
                </c:pt>
              </c:strCache>
            </c:strRef>
          </c:cat>
          <c:val>
            <c:numRef>
              <c:f>Rekapitulacija!$C$44:$M$44</c:f>
              <c:numCache>
                <c:formatCode>_-* #,##0.00\ _k_n_-;\-* #,##0.00\ _k_n_-;_-* "-"??\ _k_n_-;_-@_-</c:formatCode>
                <c:ptCount val="11"/>
                <c:pt idx="0">
                  <c:v>178446.8</c:v>
                </c:pt>
                <c:pt idx="1">
                  <c:v>182749.05</c:v>
                </c:pt>
                <c:pt idx="2">
                  <c:v>224175.38999999996</c:v>
                </c:pt>
                <c:pt idx="3">
                  <c:v>325424.58</c:v>
                </c:pt>
                <c:pt idx="4">
                  <c:v>363000.33</c:v>
                </c:pt>
                <c:pt idx="5">
                  <c:v>383606.53</c:v>
                </c:pt>
                <c:pt idx="6">
                  <c:v>404350.71</c:v>
                </c:pt>
                <c:pt idx="7">
                  <c:v>313832.56</c:v>
                </c:pt>
                <c:pt idx="8">
                  <c:v>308895.03000000014</c:v>
                </c:pt>
                <c:pt idx="9">
                  <c:v>308445.11</c:v>
                </c:pt>
                <c:pt idx="10">
                  <c:v>247542.25</c:v>
                </c:pt>
              </c:numCache>
            </c:numRef>
          </c:val>
        </c:ser>
        <c:ser>
          <c:idx val="1"/>
          <c:order val="1"/>
          <c:tx>
            <c:strRef>
              <c:f>Rekapitulacija!$B$45</c:f>
              <c:strCache>
                <c:ptCount val="1"/>
                <c:pt idx="0">
                  <c:v>JR - održavanje</c:v>
                </c:pt>
              </c:strCache>
            </c:strRef>
          </c:tx>
          <c:spPr>
            <a:solidFill>
              <a:schemeClr val="accent2"/>
            </a:solidFill>
            <a:ln>
              <a:noFill/>
            </a:ln>
            <a:effectLst/>
          </c:spPr>
          <c:trendline>
            <c:spPr>
              <a:ln w="19050" cap="rnd">
                <a:solidFill>
                  <a:schemeClr val="accent2"/>
                </a:solidFill>
                <a:prstDash val="sysDot"/>
              </a:ln>
              <a:effectLst/>
            </c:spPr>
            <c:trendlineType val="movingAvg"/>
            <c:period val="2"/>
          </c:trendline>
          <c:cat>
            <c:strRef>
              <c:f>Rekapitulacija!$C$43:$M$43</c:f>
              <c:strCache>
                <c:ptCount val="11"/>
                <c:pt idx="0">
                  <c:v>2006</c:v>
                </c:pt>
                <c:pt idx="1">
                  <c:v>2007</c:v>
                </c:pt>
                <c:pt idx="2">
                  <c:v>2008</c:v>
                </c:pt>
                <c:pt idx="3">
                  <c:v>2009</c:v>
                </c:pt>
                <c:pt idx="4">
                  <c:v>2010</c:v>
                </c:pt>
                <c:pt idx="5">
                  <c:v>2011</c:v>
                </c:pt>
                <c:pt idx="6">
                  <c:v>2012</c:v>
                </c:pt>
                <c:pt idx="7">
                  <c:v>2013</c:v>
                </c:pt>
                <c:pt idx="8">
                  <c:v>2014</c:v>
                </c:pt>
                <c:pt idx="9">
                  <c:v>2015</c:v>
                </c:pt>
                <c:pt idx="10">
                  <c:v>9/2016.</c:v>
                </c:pt>
              </c:strCache>
            </c:strRef>
          </c:cat>
          <c:val>
            <c:numRef>
              <c:f>Rekapitulacija!$C$45:$M$45</c:f>
              <c:numCache>
                <c:formatCode>_-* #,##0.00\ _k_n_-;\-* #,##0.00\ _k_n_-;_-* "-"??\ _k_n_-;_-@_-</c:formatCode>
                <c:ptCount val="11"/>
                <c:pt idx="0">
                  <c:v>46252.67</c:v>
                </c:pt>
                <c:pt idx="1">
                  <c:v>132648.53</c:v>
                </c:pt>
                <c:pt idx="2">
                  <c:v>188314.54</c:v>
                </c:pt>
                <c:pt idx="3">
                  <c:v>149554.70000000001</c:v>
                </c:pt>
                <c:pt idx="4">
                  <c:v>99447.989999999991</c:v>
                </c:pt>
                <c:pt idx="5">
                  <c:v>117622.62000000002</c:v>
                </c:pt>
                <c:pt idx="6">
                  <c:v>93137.4</c:v>
                </c:pt>
                <c:pt idx="7">
                  <c:v>93360.180000000022</c:v>
                </c:pt>
                <c:pt idx="8">
                  <c:v>46195.18</c:v>
                </c:pt>
                <c:pt idx="9">
                  <c:v>80151.439999999988</c:v>
                </c:pt>
                <c:pt idx="10">
                  <c:v>83617.02</c:v>
                </c:pt>
              </c:numCache>
            </c:numRef>
          </c:val>
        </c:ser>
        <c:gapWidth val="219"/>
        <c:overlap val="-27"/>
        <c:axId val="111113728"/>
        <c:axId val="111115264"/>
      </c:barChart>
      <c:catAx>
        <c:axId val="1111137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11115264"/>
        <c:crosses val="autoZero"/>
        <c:auto val="1"/>
        <c:lblAlgn val="ctr"/>
        <c:lblOffset val="100"/>
      </c:catAx>
      <c:valAx>
        <c:axId val="111115264"/>
        <c:scaling>
          <c:orientation val="minMax"/>
        </c:scaling>
        <c:axPos val="l"/>
        <c:majorGridlines>
          <c:spPr>
            <a:ln w="9525" cap="flat" cmpd="sng" algn="ctr">
              <a:solidFill>
                <a:schemeClr val="tx1">
                  <a:lumMod val="15000"/>
                  <a:lumOff val="85000"/>
                </a:schemeClr>
              </a:solidFill>
              <a:round/>
            </a:ln>
            <a:effectLst/>
          </c:spPr>
        </c:majorGridlines>
        <c:numFmt formatCode="_-* #,##0.00\ _k_n_-;\-* #,##0.00\ _k_n_-;_-* &quot;-&quot;??\ _k_n_-;_-@_-"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crossAx val="111113728"/>
        <c:crosses val="autoZero"/>
        <c:crossBetween val="between"/>
      </c:valAx>
      <c:spPr>
        <a:noFill/>
        <a:ln>
          <a:noFill/>
        </a:ln>
        <a:effectLst/>
      </c:spPr>
    </c:plotArea>
    <c:legend>
      <c:legendPos val="t"/>
      <c:legendEntry>
        <c:idx val="2"/>
        <c:delete val="1"/>
      </c:legendEntry>
      <c:legendEntry>
        <c:idx val="3"/>
        <c:delete val="1"/>
      </c:legendEntry>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sr-Latn-C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E33C-3A04-4EBE-8126-AE803B14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Škrinjar</dc:creator>
  <cp:lastModifiedBy>korisnik13</cp:lastModifiedBy>
  <cp:revision>2</cp:revision>
  <cp:lastPrinted>2015-02-04T17:14:00Z</cp:lastPrinted>
  <dcterms:created xsi:type="dcterms:W3CDTF">2017-05-10T07:44:00Z</dcterms:created>
  <dcterms:modified xsi:type="dcterms:W3CDTF">2017-05-10T07:44:00Z</dcterms:modified>
</cp:coreProperties>
</file>