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81" w:rsidRPr="00FA7B82" w:rsidRDefault="003131F8" w:rsidP="009A4F7A">
      <w:pPr>
        <w:jc w:val="center"/>
        <w:rPr>
          <w:rFonts w:cs="Arial"/>
          <w:b/>
          <w:sz w:val="28"/>
          <w:szCs w:val="28"/>
          <w:u w:val="single"/>
        </w:rPr>
      </w:pPr>
      <w:r w:rsidRPr="00FA7B82">
        <w:rPr>
          <w:rFonts w:cs="Arial"/>
          <w:b/>
          <w:sz w:val="28"/>
          <w:szCs w:val="28"/>
          <w:u w:val="single"/>
        </w:rPr>
        <w:t xml:space="preserve"> </w:t>
      </w:r>
      <w:r w:rsidR="009A4F7A" w:rsidRPr="00FA7B82">
        <w:rPr>
          <w:rFonts w:cs="Arial"/>
          <w:b/>
          <w:sz w:val="28"/>
          <w:szCs w:val="28"/>
          <w:u w:val="single"/>
        </w:rPr>
        <w:t>STR</w:t>
      </w:r>
      <w:r w:rsidR="006D17C1" w:rsidRPr="00FA7B82">
        <w:rPr>
          <w:rFonts w:cs="Arial"/>
          <w:b/>
          <w:sz w:val="28"/>
          <w:szCs w:val="28"/>
          <w:u w:val="single"/>
        </w:rPr>
        <w:t>ATEŠKI PLAN GOSPODARSKOG RAZVOJA GRADA PREGRADE</w:t>
      </w:r>
    </w:p>
    <w:p w:rsidR="006D17C1" w:rsidRPr="00F87FC7" w:rsidRDefault="006D17C1">
      <w:pPr>
        <w:rPr>
          <w:b/>
          <w:u w:val="single"/>
        </w:rPr>
      </w:pPr>
    </w:p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 w:rsidP="009A4F7A">
      <w:pPr>
        <w:jc w:val="center"/>
        <w:rPr>
          <w:rFonts w:cs="Arial"/>
          <w:sz w:val="40"/>
          <w:szCs w:val="40"/>
        </w:rPr>
      </w:pPr>
      <w:r w:rsidRPr="00F87FC7">
        <w:rPr>
          <w:rFonts w:cs="Arial"/>
          <w:sz w:val="40"/>
          <w:szCs w:val="40"/>
        </w:rPr>
        <w:t>IZVJEŠĆE O PROVEDBI STRATEŠKOG  PLANA  GOSPODARSKOG RAZVOJA GRADA PREGRADE</w:t>
      </w:r>
    </w:p>
    <w:p w:rsidR="006D17C1" w:rsidRPr="00F87FC7" w:rsidRDefault="006D17C1" w:rsidP="009A4F7A">
      <w:pPr>
        <w:jc w:val="center"/>
        <w:rPr>
          <w:sz w:val="40"/>
          <w:szCs w:val="40"/>
        </w:rPr>
      </w:pPr>
      <w:r w:rsidRPr="00F87FC7">
        <w:rPr>
          <w:sz w:val="40"/>
          <w:szCs w:val="40"/>
        </w:rPr>
        <w:t>ZA 2015. GODINU</w:t>
      </w:r>
    </w:p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9A4F7A" w:rsidP="009A4F7A">
      <w:pPr>
        <w:jc w:val="center"/>
      </w:pPr>
      <w:r w:rsidRPr="00F87FC7">
        <w:t>Rujan</w:t>
      </w:r>
      <w:r w:rsidR="006D17C1" w:rsidRPr="00F87FC7">
        <w:t xml:space="preserve"> 2016.</w:t>
      </w:r>
      <w:r w:rsidR="00930611" w:rsidRPr="00F87FC7">
        <w:rPr>
          <w:noProof/>
          <w:lang w:eastAsia="hr-HR"/>
        </w:rPr>
        <w:t xml:space="preserve"> </w:t>
      </w:r>
    </w:p>
    <w:p w:rsidR="0003707D" w:rsidRPr="00F87FC7" w:rsidRDefault="0003707D" w:rsidP="0003707D">
      <w:pPr>
        <w:jc w:val="center"/>
      </w:pPr>
      <w:r w:rsidRPr="00F87FC7">
        <w:rPr>
          <w:noProof/>
          <w:color w:val="0000FF"/>
          <w:lang w:eastAsia="hr-HR"/>
        </w:rPr>
        <w:drawing>
          <wp:inline distT="0" distB="0" distL="0" distR="0">
            <wp:extent cx="619125" cy="713589"/>
            <wp:effectExtent l="0" t="0" r="0" b="0"/>
            <wp:docPr id="1" name="irc_mi" descr="Slikovni rezultat za GRB GRADA PREGRA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GRB GRADA PREGRAD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45" cy="71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7C1" w:rsidRPr="00F87FC7" w:rsidRDefault="006D17C1" w:rsidP="00956B90">
      <w:pPr>
        <w:jc w:val="center"/>
        <w:rPr>
          <w:noProof/>
          <w:lang w:eastAsia="hr-HR"/>
        </w:rPr>
      </w:pPr>
    </w:p>
    <w:p w:rsidR="0034351F" w:rsidRPr="00F87FC7" w:rsidRDefault="0034351F" w:rsidP="00956B90">
      <w:pPr>
        <w:jc w:val="center"/>
      </w:pPr>
    </w:p>
    <w:p w:rsidR="009A4F7A" w:rsidRPr="00F87FC7" w:rsidRDefault="009A4F7A"/>
    <w:p w:rsidR="00DD233A" w:rsidRPr="00F87FC7" w:rsidRDefault="00DD233A">
      <w:pPr>
        <w:rPr>
          <w:rFonts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858124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C1BB0" w:rsidRPr="00F87FC7" w:rsidRDefault="002C1BB0" w:rsidP="002C1BB0">
          <w:pPr>
            <w:pStyle w:val="TOCNaslov"/>
            <w:ind w:left="2832" w:firstLine="708"/>
            <w:rPr>
              <w:rFonts w:asciiTheme="minorHAnsi" w:hAnsiTheme="minorHAnsi"/>
              <w:sz w:val="44"/>
              <w:szCs w:val="44"/>
            </w:rPr>
          </w:pPr>
          <w:r w:rsidRPr="00F87FC7">
            <w:rPr>
              <w:rFonts w:asciiTheme="minorHAnsi" w:hAnsiTheme="minorHAnsi"/>
              <w:sz w:val="44"/>
              <w:szCs w:val="44"/>
            </w:rPr>
            <w:t>Sadržaj</w:t>
          </w:r>
        </w:p>
        <w:p w:rsidR="002C1BB0" w:rsidRPr="00F87FC7" w:rsidRDefault="002C1BB0" w:rsidP="002C1BB0">
          <w:pPr>
            <w:rPr>
              <w:lang w:eastAsia="hr-HR"/>
            </w:rPr>
          </w:pPr>
        </w:p>
        <w:p w:rsidR="002C1BB0" w:rsidRPr="00F87FC7" w:rsidRDefault="002C1BB0" w:rsidP="002C1BB0">
          <w:pPr>
            <w:rPr>
              <w:sz w:val="24"/>
              <w:szCs w:val="24"/>
              <w:lang w:eastAsia="hr-HR"/>
            </w:rPr>
          </w:pPr>
        </w:p>
        <w:p w:rsidR="00933D9F" w:rsidRDefault="00EC5FF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EC5FFD">
            <w:rPr>
              <w:sz w:val="24"/>
              <w:szCs w:val="24"/>
            </w:rPr>
            <w:fldChar w:fldCharType="begin"/>
          </w:r>
          <w:r w:rsidR="002C1BB0" w:rsidRPr="00F87FC7">
            <w:rPr>
              <w:sz w:val="24"/>
              <w:szCs w:val="24"/>
            </w:rPr>
            <w:instrText xml:space="preserve"> TOC \o "1-3" \h \z \u </w:instrText>
          </w:r>
          <w:r w:rsidRPr="00EC5FFD">
            <w:rPr>
              <w:sz w:val="24"/>
              <w:szCs w:val="24"/>
            </w:rPr>
            <w:fldChar w:fldCharType="separate"/>
          </w:r>
          <w:hyperlink w:anchor="_Toc461101449" w:history="1">
            <w:r w:rsidR="00933D9F" w:rsidRPr="009047E8">
              <w:rPr>
                <w:rStyle w:val="Hiperveza"/>
                <w:noProof/>
              </w:rPr>
              <w:t>1.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Uvod</w:t>
            </w:r>
            <w:r w:rsidR="00933D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3D9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D9F" w:rsidRDefault="00EC5FF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0" w:history="1">
            <w:r w:rsidR="00933D9F" w:rsidRPr="009047E8">
              <w:rPr>
                <w:rStyle w:val="Hiperveza"/>
                <w:noProof/>
              </w:rPr>
              <w:t>2.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Provedba projekata Strateškog plana gospodarskog razvoja grada Pregrade</w:t>
            </w:r>
            <w:r w:rsidR="00933D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3D9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D9F" w:rsidRDefault="00EC5FFD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1" w:history="1">
            <w:r w:rsidR="00933D9F" w:rsidRPr="009047E8">
              <w:rPr>
                <w:rStyle w:val="Hiperveza"/>
                <w:noProof/>
              </w:rPr>
              <w:t>2.1.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Financijsko izvješće</w:t>
            </w:r>
            <w:r w:rsidR="00933D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3D9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D9F" w:rsidRDefault="00EC5FFD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2" w:history="1">
            <w:r w:rsidR="00933D9F" w:rsidRPr="009047E8">
              <w:rPr>
                <w:rStyle w:val="Hiperveza"/>
                <w:noProof/>
              </w:rPr>
              <w:t>2.2.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Izvješće o pokazateljima rezultata</w:t>
            </w:r>
            <w:r w:rsidR="00933D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3D9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D9F" w:rsidRDefault="00EC5FF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3" w:history="1">
            <w:r w:rsidR="00933D9F" w:rsidRPr="009047E8">
              <w:rPr>
                <w:rStyle w:val="Hiperveza"/>
                <w:noProof/>
              </w:rPr>
              <w:t>3.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Zaključak</w:t>
            </w:r>
            <w:r w:rsidR="00933D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3D9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D9F" w:rsidRDefault="00EC5FF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4" w:history="1">
            <w:r w:rsidR="00933D9F" w:rsidRPr="009047E8">
              <w:rPr>
                <w:rStyle w:val="Hiperveza"/>
                <w:noProof/>
              </w:rPr>
              <w:t>Prilozi</w:t>
            </w:r>
            <w:r w:rsidR="00933D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3D9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1BB0" w:rsidRPr="00F87FC7" w:rsidRDefault="00EC5FFD">
          <w:r w:rsidRPr="00F87FC7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E459A1" w:rsidRPr="00F87FC7" w:rsidRDefault="00E459A1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BF4093">
      <w:pPr>
        <w:rPr>
          <w:rFonts w:cs="Arial"/>
        </w:rPr>
      </w:pPr>
    </w:p>
    <w:p w:rsidR="00BF4093" w:rsidRPr="00F87FC7" w:rsidRDefault="00BF4093" w:rsidP="00BF4093">
      <w:pPr>
        <w:rPr>
          <w:rFonts w:cs="Arial"/>
        </w:rPr>
      </w:pPr>
    </w:p>
    <w:p w:rsidR="00BF4093" w:rsidRPr="00F87FC7" w:rsidRDefault="00BF4093" w:rsidP="00BF4093">
      <w:pPr>
        <w:rPr>
          <w:rFonts w:cs="Arial"/>
        </w:rPr>
      </w:pPr>
    </w:p>
    <w:p w:rsidR="00BF4093" w:rsidRPr="00F87FC7" w:rsidRDefault="00BF4093" w:rsidP="00BF4093">
      <w:pPr>
        <w:rPr>
          <w:rFonts w:cs="Arial"/>
        </w:rPr>
      </w:pPr>
    </w:p>
    <w:p w:rsidR="00BF4093" w:rsidRPr="00F87FC7" w:rsidRDefault="00BF4093" w:rsidP="00BF4093">
      <w:pPr>
        <w:rPr>
          <w:rFonts w:cs="Arial"/>
        </w:rPr>
      </w:pPr>
    </w:p>
    <w:p w:rsidR="00BF4093" w:rsidRPr="00F87FC7" w:rsidRDefault="00BF4093" w:rsidP="00BF4093">
      <w:pPr>
        <w:rPr>
          <w:rFonts w:cs="Arial"/>
        </w:rPr>
      </w:pPr>
    </w:p>
    <w:p w:rsidR="00BF4093" w:rsidRPr="00F87FC7" w:rsidRDefault="00BF4093" w:rsidP="00BF4093">
      <w:pPr>
        <w:rPr>
          <w:rFonts w:cs="Arial"/>
        </w:rPr>
      </w:pPr>
    </w:p>
    <w:p w:rsidR="00E459A1" w:rsidRPr="00F87FC7" w:rsidRDefault="00E459A1" w:rsidP="00BF4093">
      <w:pPr>
        <w:pStyle w:val="Naslov1"/>
        <w:numPr>
          <w:ilvl w:val="0"/>
          <w:numId w:val="5"/>
        </w:numPr>
        <w:rPr>
          <w:rFonts w:asciiTheme="minorHAnsi" w:hAnsiTheme="minorHAnsi"/>
        </w:rPr>
      </w:pPr>
      <w:bookmarkStart w:id="0" w:name="_Toc461101449"/>
      <w:r w:rsidRPr="00F87FC7">
        <w:rPr>
          <w:rFonts w:asciiTheme="minorHAnsi" w:hAnsiTheme="minorHAnsi"/>
        </w:rPr>
        <w:t>Uvod</w:t>
      </w:r>
      <w:bookmarkEnd w:id="0"/>
    </w:p>
    <w:p w:rsidR="00E459A1" w:rsidRPr="00F87FC7" w:rsidRDefault="00E459A1" w:rsidP="00E459A1">
      <w:pPr>
        <w:pStyle w:val="Odlomakpopisa"/>
        <w:rPr>
          <w:rFonts w:cs="Arial"/>
        </w:rPr>
      </w:pPr>
    </w:p>
    <w:p w:rsidR="00652496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Strateški plan gospodarskog razvoja grada Pregrade za razdoblje 2014. – 2020. godine donesen je na sjednici Gradskog vijeća grada Pregrade 16.9.2014. godine</w:t>
      </w:r>
      <w:r w:rsidR="00652496" w:rsidRPr="00F87FC7">
        <w:rPr>
          <w:rFonts w:cs="Arial"/>
          <w:sz w:val="24"/>
          <w:szCs w:val="24"/>
        </w:rPr>
        <w:t xml:space="preserve"> na prijedlog gradonačelnika i radne skupine od 30-ak g</w:t>
      </w:r>
      <w:r w:rsidR="00FF35BB" w:rsidRPr="00F87FC7">
        <w:rPr>
          <w:rFonts w:cs="Arial"/>
          <w:sz w:val="24"/>
          <w:szCs w:val="24"/>
        </w:rPr>
        <w:t>r</w:t>
      </w:r>
      <w:r w:rsidR="00652496" w:rsidRPr="00F87FC7">
        <w:rPr>
          <w:rFonts w:cs="Arial"/>
          <w:sz w:val="24"/>
          <w:szCs w:val="24"/>
        </w:rPr>
        <w:t xml:space="preserve">ađana iz javnog i gospodarskog sektora koja je radila na izradi plana pod stručnim vodstvom profesora Ekonomskog fakulteta u Zagrebu </w:t>
      </w:r>
      <w:proofErr w:type="spellStart"/>
      <w:r w:rsidR="00652496" w:rsidRPr="00F87FC7">
        <w:rPr>
          <w:rFonts w:cs="Arial"/>
          <w:sz w:val="24"/>
          <w:szCs w:val="24"/>
        </w:rPr>
        <w:t>dr.sc</w:t>
      </w:r>
      <w:proofErr w:type="spellEnd"/>
      <w:r w:rsidR="00652496" w:rsidRPr="00F87FC7">
        <w:rPr>
          <w:rFonts w:cs="Arial"/>
          <w:sz w:val="24"/>
          <w:szCs w:val="24"/>
        </w:rPr>
        <w:t>.</w:t>
      </w:r>
      <w:r w:rsidR="00F32B66">
        <w:rPr>
          <w:rFonts w:cs="Arial"/>
          <w:sz w:val="24"/>
          <w:szCs w:val="24"/>
        </w:rPr>
        <w:t xml:space="preserve"> </w:t>
      </w:r>
      <w:r w:rsidR="00652496" w:rsidRPr="00F87FC7">
        <w:rPr>
          <w:rFonts w:cs="Arial"/>
          <w:sz w:val="24"/>
          <w:szCs w:val="24"/>
        </w:rPr>
        <w:t xml:space="preserve">Vladimira </w:t>
      </w:r>
      <w:proofErr w:type="spellStart"/>
      <w:r w:rsidR="00652496" w:rsidRPr="00F87FC7">
        <w:rPr>
          <w:rFonts w:cs="Arial"/>
          <w:sz w:val="24"/>
          <w:szCs w:val="24"/>
        </w:rPr>
        <w:t>Čavraka</w:t>
      </w:r>
      <w:proofErr w:type="spellEnd"/>
      <w:r w:rsidR="00652496" w:rsidRPr="00F87FC7">
        <w:rPr>
          <w:rFonts w:cs="Arial"/>
          <w:sz w:val="24"/>
          <w:szCs w:val="24"/>
        </w:rPr>
        <w:t xml:space="preserve"> i njegovih suradnika</w:t>
      </w:r>
      <w:r w:rsidRPr="00F87FC7">
        <w:rPr>
          <w:rFonts w:cs="Arial"/>
          <w:sz w:val="24"/>
          <w:szCs w:val="24"/>
        </w:rPr>
        <w:t>.</w:t>
      </w:r>
    </w:p>
    <w:p w:rsidR="00E459A1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Planom je regulirana obveza praćenja provedbe na način da Izvješće o provedbi izrađuju Upravni odjeli na čelu s pročelnic</w:t>
      </w:r>
      <w:r w:rsidR="004967AF" w:rsidRPr="00F87FC7">
        <w:rPr>
          <w:rFonts w:cs="Arial"/>
          <w:sz w:val="24"/>
          <w:szCs w:val="24"/>
        </w:rPr>
        <w:t>ama</w:t>
      </w:r>
      <w:r w:rsidRPr="00F87FC7">
        <w:rPr>
          <w:rFonts w:cs="Arial"/>
          <w:sz w:val="24"/>
          <w:szCs w:val="24"/>
        </w:rPr>
        <w:t>, a podnose se:</w:t>
      </w:r>
    </w:p>
    <w:p w:rsidR="00E459A1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Gradonačelniku grada Pregrade – najmanje jednom godišnje</w:t>
      </w:r>
    </w:p>
    <w:p w:rsidR="00E459A1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Gradskom vijeću grada Pregrade – jednom godišnje; a na zahtjev i po potrebi  izrađ</w:t>
      </w:r>
      <w:r w:rsidR="00985D08" w:rsidRPr="00F87FC7">
        <w:rPr>
          <w:rFonts w:cs="Arial"/>
          <w:sz w:val="24"/>
          <w:szCs w:val="24"/>
        </w:rPr>
        <w:t xml:space="preserve">uje se </w:t>
      </w:r>
      <w:r w:rsidRPr="00F87FC7">
        <w:rPr>
          <w:rFonts w:cs="Arial"/>
          <w:sz w:val="24"/>
          <w:szCs w:val="24"/>
        </w:rPr>
        <w:t xml:space="preserve"> i mimo regularnog roka</w:t>
      </w:r>
    </w:p>
    <w:p w:rsidR="00DD233A" w:rsidRPr="00F87FC7" w:rsidRDefault="00E57BB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Strateški plan gospodarskog razvoja grada Pregrade </w:t>
      </w:r>
      <w:r w:rsidR="00E459A1" w:rsidRPr="00F87FC7">
        <w:rPr>
          <w:rFonts w:cs="Arial"/>
          <w:sz w:val="24"/>
          <w:szCs w:val="24"/>
        </w:rPr>
        <w:t xml:space="preserve">omogućava svim stanovnicima i građanima da sudjeluju u razvoju svog Grada. </w:t>
      </w:r>
    </w:p>
    <w:p w:rsidR="00A3105F" w:rsidRPr="00F87FC7" w:rsidRDefault="00A3105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Temeljem Zakona  o proračunu iz 2009. godine (NN 87/08) gradovi i općine obvezne su prilikom izrade proračuna, osim općeg i posebnog dijela izraditi i plan razvojnih programa. Plan razvojnih programa predstavlja planirane investicijske rashode za naredne tri godine. Izmjenama Zakona iz 2012. </w:t>
      </w:r>
      <w:r w:rsidR="00224A63" w:rsidRPr="00F87FC7">
        <w:rPr>
          <w:rFonts w:cs="Arial"/>
          <w:sz w:val="24"/>
          <w:szCs w:val="24"/>
        </w:rPr>
        <w:t>g</w:t>
      </w:r>
      <w:r w:rsidRPr="00F87FC7">
        <w:rPr>
          <w:rFonts w:cs="Arial"/>
          <w:sz w:val="24"/>
          <w:szCs w:val="24"/>
        </w:rPr>
        <w:t>odine (NN 136/12) mijenja se sadržaj i srž planova razvojnih programa te su jedinice lokalne samouprave primorane izrađivati planove razvojnih programa prema novoj metodologiji i to na</w:t>
      </w:r>
      <w:r w:rsidR="00224A63" w:rsidRPr="00F87FC7">
        <w:rPr>
          <w:rFonts w:cs="Arial"/>
          <w:sz w:val="24"/>
          <w:szCs w:val="24"/>
        </w:rPr>
        <w:t xml:space="preserve"> </w:t>
      </w:r>
      <w:r w:rsidRPr="00F87FC7">
        <w:rPr>
          <w:rFonts w:cs="Arial"/>
          <w:sz w:val="24"/>
          <w:szCs w:val="24"/>
        </w:rPr>
        <w:t>način da on sadrži ciljeve i prioritete razvoja lokalne jedinice, a ti ciljevi povezani su sa programskom i organizacijskom klasifikacijom proračuna.</w:t>
      </w:r>
    </w:p>
    <w:p w:rsidR="00224A63" w:rsidRPr="00F87FC7" w:rsidRDefault="00224A63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A ciljevi i prioriteti definirani su Strateškim planom gospodarskog razvoja.</w:t>
      </w:r>
    </w:p>
    <w:p w:rsidR="00224A63" w:rsidRPr="00F87FC7" w:rsidRDefault="00224A63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Izvješće </w:t>
      </w:r>
      <w:r w:rsidR="007F1590" w:rsidRPr="00F87FC7">
        <w:rPr>
          <w:rFonts w:cs="Arial"/>
          <w:sz w:val="24"/>
          <w:szCs w:val="24"/>
        </w:rPr>
        <w:t xml:space="preserve">o provedbi Strateškog plana </w:t>
      </w:r>
      <w:r w:rsidRPr="00F87FC7">
        <w:rPr>
          <w:rFonts w:cs="Arial"/>
          <w:sz w:val="24"/>
          <w:szCs w:val="24"/>
        </w:rPr>
        <w:t>odnosi na prethodnu kalendarsku i fiskalnu godinu, odnosno na projekte provedene tijekom 2015. godine.</w:t>
      </w:r>
    </w:p>
    <w:p w:rsidR="00985D08" w:rsidRPr="00F87FC7" w:rsidRDefault="001A4E1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Izvješće za 2015. </w:t>
      </w:r>
      <w:r w:rsidR="00FF35BB" w:rsidRPr="00F87FC7">
        <w:rPr>
          <w:rFonts w:cs="Arial"/>
          <w:sz w:val="24"/>
          <w:szCs w:val="24"/>
        </w:rPr>
        <w:t>g</w:t>
      </w:r>
      <w:r w:rsidRPr="00F87FC7">
        <w:rPr>
          <w:rFonts w:cs="Arial"/>
          <w:sz w:val="24"/>
          <w:szCs w:val="24"/>
        </w:rPr>
        <w:t>odinu je izrađeno na temelju prikupljenih podataka iz proračuna grada Pregrade, iz  plana razvojnih programa, podataka od gradskih proračunskih korisnika, javnih poduzeća u vlasništvu Grada i privatnih investitor</w:t>
      </w:r>
      <w:r w:rsidR="00985D08" w:rsidRPr="00F87FC7">
        <w:rPr>
          <w:rFonts w:cs="Arial"/>
          <w:sz w:val="24"/>
          <w:szCs w:val="24"/>
        </w:rPr>
        <w:t>a.</w:t>
      </w:r>
    </w:p>
    <w:p w:rsidR="00F32B66" w:rsidRDefault="00F32B6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224A63" w:rsidRPr="00F87FC7" w:rsidRDefault="00985D08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lastRenderedPageBreak/>
        <w:t>S</w:t>
      </w:r>
      <w:r w:rsidR="007F1590" w:rsidRPr="00F87FC7">
        <w:rPr>
          <w:rFonts w:cs="Arial"/>
          <w:sz w:val="24"/>
          <w:szCs w:val="24"/>
        </w:rPr>
        <w:t xml:space="preserve"> obzirom </w:t>
      </w:r>
      <w:r w:rsidRPr="00F87FC7">
        <w:rPr>
          <w:rFonts w:cs="Arial"/>
          <w:sz w:val="24"/>
          <w:szCs w:val="24"/>
        </w:rPr>
        <w:t>da je Strateški plan donesen u ru</w:t>
      </w:r>
      <w:r w:rsidR="00224A63" w:rsidRPr="00F87FC7">
        <w:rPr>
          <w:rFonts w:cs="Arial"/>
          <w:sz w:val="24"/>
          <w:szCs w:val="24"/>
        </w:rPr>
        <w:t>jnu 2014. godine izvještavanje za 2014. godinu nije izrađeno</w:t>
      </w:r>
      <w:r w:rsidRPr="00F87FC7">
        <w:rPr>
          <w:rFonts w:cs="Arial"/>
          <w:sz w:val="24"/>
          <w:szCs w:val="24"/>
        </w:rPr>
        <w:t xml:space="preserve"> pa se navode </w:t>
      </w:r>
      <w:r w:rsidR="00224A63" w:rsidRPr="00F87FC7">
        <w:rPr>
          <w:rFonts w:cs="Arial"/>
          <w:sz w:val="24"/>
          <w:szCs w:val="24"/>
        </w:rPr>
        <w:t xml:space="preserve"> značajniji projekti provedeni u 2014. </w:t>
      </w:r>
      <w:r w:rsidRPr="00F87FC7">
        <w:rPr>
          <w:rFonts w:cs="Arial"/>
          <w:sz w:val="24"/>
          <w:szCs w:val="24"/>
        </w:rPr>
        <w:t>g</w:t>
      </w:r>
      <w:r w:rsidR="00224A63" w:rsidRPr="00F87FC7">
        <w:rPr>
          <w:rFonts w:cs="Arial"/>
          <w:sz w:val="24"/>
          <w:szCs w:val="24"/>
        </w:rPr>
        <w:t>odini</w:t>
      </w:r>
      <w:r w:rsidRPr="00F87FC7">
        <w:rPr>
          <w:rFonts w:cs="Arial"/>
          <w:sz w:val="24"/>
          <w:szCs w:val="24"/>
        </w:rPr>
        <w:t>.</w:t>
      </w:r>
    </w:p>
    <w:p w:rsidR="00DC4719" w:rsidRPr="00F87FC7" w:rsidRDefault="00A863C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  <w:highlight w:val="lightGray"/>
        </w:rPr>
        <w:t xml:space="preserve">Strateški cilj </w:t>
      </w:r>
      <w:r w:rsidR="00DC4719" w:rsidRPr="00F87FC7">
        <w:rPr>
          <w:rFonts w:cs="Arial"/>
          <w:sz w:val="24"/>
          <w:szCs w:val="24"/>
          <w:highlight w:val="lightGray"/>
        </w:rPr>
        <w:t>2</w:t>
      </w:r>
      <w:r w:rsidRPr="00F87FC7">
        <w:rPr>
          <w:rFonts w:cs="Arial"/>
          <w:sz w:val="24"/>
          <w:szCs w:val="24"/>
          <w:highlight w:val="lightGray"/>
        </w:rPr>
        <w:t>.</w:t>
      </w:r>
      <w:r w:rsidRPr="00F87FC7">
        <w:rPr>
          <w:rFonts w:cs="Arial"/>
          <w:sz w:val="24"/>
          <w:szCs w:val="24"/>
        </w:rPr>
        <w:t xml:space="preserve"> </w:t>
      </w:r>
    </w:p>
    <w:p w:rsidR="00A863CF" w:rsidRPr="00F87FC7" w:rsidRDefault="00DC4719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Povećanje konkurentnosti i rast malih i srednjih poduzeća i obiteljskih gospodarstava </w:t>
      </w:r>
    </w:p>
    <w:p w:rsidR="00A863CF" w:rsidRPr="00F87FC7" w:rsidRDefault="00A863CF" w:rsidP="00224A63">
      <w:pPr>
        <w:pStyle w:val="Odlomakpopisa"/>
        <w:jc w:val="both"/>
        <w:rPr>
          <w:rFonts w:cs="Arial"/>
          <w:sz w:val="24"/>
          <w:szCs w:val="24"/>
          <w:u w:val="single"/>
        </w:rPr>
      </w:pPr>
      <w:r w:rsidRPr="00F87FC7">
        <w:rPr>
          <w:rFonts w:cs="Arial"/>
          <w:sz w:val="24"/>
          <w:szCs w:val="24"/>
          <w:u w:val="single"/>
        </w:rPr>
        <w:t>Projekti:</w:t>
      </w:r>
    </w:p>
    <w:p w:rsidR="00A863CF" w:rsidRPr="00F87FC7" w:rsidRDefault="00A863CF" w:rsidP="00224A63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Revitalizacija prve Vinske ceste u RH</w:t>
      </w:r>
    </w:p>
    <w:p w:rsidR="00A863CF" w:rsidRPr="00F87FC7" w:rsidRDefault="00A863CF" w:rsidP="00A863CF">
      <w:pPr>
        <w:pStyle w:val="Odlomakpopisa"/>
        <w:ind w:left="1080"/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        Izvedeni su radovi na m</w:t>
      </w:r>
      <w:r w:rsidR="006D4DAF" w:rsidRPr="00F87FC7">
        <w:rPr>
          <w:rFonts w:cs="Arial"/>
          <w:sz w:val="24"/>
          <w:szCs w:val="24"/>
        </w:rPr>
        <w:t>odernizacij</w:t>
      </w:r>
      <w:r w:rsidRPr="00F87FC7">
        <w:rPr>
          <w:rFonts w:cs="Arial"/>
          <w:sz w:val="24"/>
          <w:szCs w:val="24"/>
        </w:rPr>
        <w:t>i</w:t>
      </w:r>
      <w:r w:rsidR="006D4DAF" w:rsidRPr="00F87FC7">
        <w:rPr>
          <w:rFonts w:cs="Arial"/>
          <w:sz w:val="24"/>
          <w:szCs w:val="24"/>
        </w:rPr>
        <w:t xml:space="preserve"> vinsk</w:t>
      </w:r>
      <w:r w:rsidR="00224A63" w:rsidRPr="00F87FC7">
        <w:rPr>
          <w:rFonts w:cs="Arial"/>
          <w:sz w:val="24"/>
          <w:szCs w:val="24"/>
        </w:rPr>
        <w:t>e ceste u vrijednosti 903.</w:t>
      </w:r>
      <w:r w:rsidR="007C7C00" w:rsidRPr="00F87FC7">
        <w:rPr>
          <w:rFonts w:cs="Arial"/>
          <w:sz w:val="24"/>
          <w:szCs w:val="24"/>
        </w:rPr>
        <w:t xml:space="preserve">734,25 </w:t>
      </w:r>
    </w:p>
    <w:p w:rsidR="00CF2239" w:rsidRDefault="00A863CF" w:rsidP="00CF2239">
      <w:pPr>
        <w:pStyle w:val="Odlomakpopisa"/>
        <w:ind w:left="1080"/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        k</w:t>
      </w:r>
      <w:r w:rsidR="007C7C00" w:rsidRPr="00F87FC7">
        <w:rPr>
          <w:rFonts w:cs="Arial"/>
          <w:sz w:val="24"/>
          <w:szCs w:val="24"/>
        </w:rPr>
        <w:t>una</w:t>
      </w:r>
      <w:r w:rsidR="00D623AD" w:rsidRPr="00F87FC7">
        <w:rPr>
          <w:rFonts w:cs="Arial"/>
          <w:sz w:val="24"/>
          <w:szCs w:val="24"/>
        </w:rPr>
        <w:t xml:space="preserve"> uz pomoć </w:t>
      </w:r>
      <w:r w:rsidRPr="00F87FC7">
        <w:rPr>
          <w:rFonts w:cs="Arial"/>
          <w:sz w:val="24"/>
          <w:szCs w:val="24"/>
        </w:rPr>
        <w:t xml:space="preserve"> držav</w:t>
      </w:r>
      <w:r w:rsidR="00D623AD" w:rsidRPr="00F87FC7">
        <w:rPr>
          <w:rFonts w:cs="Arial"/>
          <w:sz w:val="24"/>
          <w:szCs w:val="24"/>
        </w:rPr>
        <w:t xml:space="preserve">nog proračuna u visini 80% investicije </w:t>
      </w:r>
    </w:p>
    <w:p w:rsidR="00BF4093" w:rsidRPr="00F87FC7" w:rsidRDefault="00A863CF" w:rsidP="00CF2239">
      <w:pPr>
        <w:pStyle w:val="Odlomakpopisa"/>
        <w:ind w:left="1080"/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          </w:t>
      </w:r>
      <w:r w:rsidR="00DC4719" w:rsidRPr="00F87FC7">
        <w:rPr>
          <w:rFonts w:cs="Arial"/>
          <w:sz w:val="24"/>
          <w:szCs w:val="24"/>
        </w:rPr>
        <w:t xml:space="preserve"> </w:t>
      </w:r>
    </w:p>
    <w:p w:rsidR="00BF4093" w:rsidRPr="00F87FC7" w:rsidRDefault="00DC4719" w:rsidP="00A863CF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 </w:t>
      </w:r>
      <w:r w:rsidR="00A863CF" w:rsidRPr="00F87FC7">
        <w:rPr>
          <w:rFonts w:cs="Arial"/>
          <w:sz w:val="24"/>
          <w:szCs w:val="24"/>
          <w:highlight w:val="lightGray"/>
        </w:rPr>
        <w:t xml:space="preserve">Strateški cilj </w:t>
      </w:r>
      <w:r w:rsidRPr="00F87FC7">
        <w:rPr>
          <w:rFonts w:cs="Arial"/>
          <w:sz w:val="24"/>
          <w:szCs w:val="24"/>
          <w:highlight w:val="lightGray"/>
        </w:rPr>
        <w:t>3</w:t>
      </w:r>
    </w:p>
    <w:p w:rsidR="00A863CF" w:rsidRPr="00F87FC7" w:rsidRDefault="00DC4719" w:rsidP="00A863CF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 Izgradnja </w:t>
      </w:r>
      <w:proofErr w:type="spellStart"/>
      <w:r w:rsidRPr="00F87FC7">
        <w:rPr>
          <w:rFonts w:cs="Arial"/>
          <w:sz w:val="24"/>
          <w:szCs w:val="24"/>
        </w:rPr>
        <w:t>hard</w:t>
      </w:r>
      <w:proofErr w:type="spellEnd"/>
      <w:r w:rsidRPr="00F87FC7">
        <w:rPr>
          <w:rFonts w:cs="Arial"/>
          <w:sz w:val="24"/>
          <w:szCs w:val="24"/>
        </w:rPr>
        <w:t xml:space="preserve"> i soft infrastrukture potrebne za rast poslovanja i ugodan život</w:t>
      </w:r>
      <w:r w:rsidR="00A863CF" w:rsidRPr="00F87FC7">
        <w:rPr>
          <w:rFonts w:cs="Arial"/>
          <w:sz w:val="24"/>
          <w:szCs w:val="24"/>
        </w:rPr>
        <w:t xml:space="preserve"> </w:t>
      </w:r>
    </w:p>
    <w:p w:rsidR="00DC4719" w:rsidRPr="00F87FC7" w:rsidRDefault="00DC4719" w:rsidP="00A863CF">
      <w:pPr>
        <w:jc w:val="both"/>
        <w:rPr>
          <w:rFonts w:cs="Arial"/>
          <w:sz w:val="24"/>
          <w:szCs w:val="24"/>
          <w:u w:val="single"/>
        </w:rPr>
      </w:pPr>
      <w:r w:rsidRPr="00F87FC7">
        <w:rPr>
          <w:rFonts w:cs="Arial"/>
          <w:sz w:val="24"/>
          <w:szCs w:val="24"/>
        </w:rPr>
        <w:t xml:space="preserve">             </w:t>
      </w:r>
      <w:r w:rsidRPr="00F87FC7">
        <w:rPr>
          <w:rFonts w:cs="Arial"/>
          <w:sz w:val="24"/>
          <w:szCs w:val="24"/>
          <w:u w:val="single"/>
        </w:rPr>
        <w:t>Projekti:</w:t>
      </w:r>
    </w:p>
    <w:p w:rsidR="00544AC4" w:rsidRPr="00F87FC7" w:rsidRDefault="00DC4719" w:rsidP="00544AC4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Zamjena </w:t>
      </w:r>
      <w:r w:rsidR="00544AC4" w:rsidRPr="00F87FC7">
        <w:rPr>
          <w:rFonts w:cs="Arial"/>
          <w:sz w:val="24"/>
          <w:szCs w:val="24"/>
        </w:rPr>
        <w:t xml:space="preserve">dotrajale stolarije  na objektu „DV Naša radost“ Pregrada </w:t>
      </w:r>
    </w:p>
    <w:p w:rsidR="00DC4719" w:rsidRPr="00F87FC7" w:rsidRDefault="00544AC4" w:rsidP="00544AC4">
      <w:pPr>
        <w:pStyle w:val="Odlomakpopisa"/>
        <w:ind w:left="1080"/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          Izvedeni su radovi u vrijednosti 170.000,00 kuna </w:t>
      </w:r>
    </w:p>
    <w:p w:rsidR="00D623AD" w:rsidRPr="00F87FC7" w:rsidRDefault="00D623AD" w:rsidP="00D623AD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Sanacija nerazvrstanih cesta na području grada Pregrade </w:t>
      </w:r>
    </w:p>
    <w:p w:rsidR="00FA69A6" w:rsidRPr="00F87FC7" w:rsidRDefault="00D623AD" w:rsidP="00D623AD">
      <w:pPr>
        <w:pStyle w:val="Odlomakpopisa"/>
        <w:ind w:left="1080"/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          </w:t>
      </w:r>
      <w:r w:rsidR="00FA69A6" w:rsidRPr="00F87FC7">
        <w:rPr>
          <w:rFonts w:cs="Arial"/>
          <w:sz w:val="24"/>
          <w:szCs w:val="24"/>
        </w:rPr>
        <w:t>Izvedeni su radovi na a</w:t>
      </w:r>
      <w:r w:rsidR="006D4DAF" w:rsidRPr="00F87FC7">
        <w:rPr>
          <w:rFonts w:cs="Arial"/>
          <w:sz w:val="24"/>
          <w:szCs w:val="24"/>
        </w:rPr>
        <w:t>sfaltiranj</w:t>
      </w:r>
      <w:r w:rsidR="00FA69A6" w:rsidRPr="00F87FC7">
        <w:rPr>
          <w:rFonts w:cs="Arial"/>
          <w:sz w:val="24"/>
          <w:szCs w:val="24"/>
        </w:rPr>
        <w:t>u</w:t>
      </w:r>
      <w:r w:rsidR="006D4DAF" w:rsidRPr="00F87FC7">
        <w:rPr>
          <w:rFonts w:cs="Arial"/>
          <w:sz w:val="24"/>
          <w:szCs w:val="24"/>
        </w:rPr>
        <w:t xml:space="preserve"> nerazv</w:t>
      </w:r>
      <w:r w:rsidR="00132FF2" w:rsidRPr="00F87FC7">
        <w:rPr>
          <w:rFonts w:cs="Arial"/>
          <w:sz w:val="24"/>
          <w:szCs w:val="24"/>
        </w:rPr>
        <w:t>rstanih cesta</w:t>
      </w:r>
      <w:r w:rsidR="00FA69A6" w:rsidRPr="00F87FC7">
        <w:rPr>
          <w:rFonts w:cs="Arial"/>
          <w:sz w:val="24"/>
          <w:szCs w:val="24"/>
        </w:rPr>
        <w:t>,</w:t>
      </w:r>
      <w:r w:rsidR="00132FF2" w:rsidRPr="00F87FC7">
        <w:rPr>
          <w:rFonts w:cs="Arial"/>
          <w:sz w:val="24"/>
          <w:szCs w:val="24"/>
        </w:rPr>
        <w:t xml:space="preserve"> uređenj</w:t>
      </w:r>
      <w:r w:rsidR="00FA69A6" w:rsidRPr="00F87FC7">
        <w:rPr>
          <w:rFonts w:cs="Arial"/>
          <w:sz w:val="24"/>
          <w:szCs w:val="24"/>
        </w:rPr>
        <w:t>u</w:t>
      </w:r>
      <w:r w:rsidR="00132FF2" w:rsidRPr="00F87FC7">
        <w:rPr>
          <w:rFonts w:cs="Arial"/>
          <w:sz w:val="24"/>
          <w:szCs w:val="24"/>
        </w:rPr>
        <w:t xml:space="preserve"> mosta i</w:t>
      </w:r>
    </w:p>
    <w:p w:rsidR="00956B90" w:rsidRPr="00F87FC7" w:rsidRDefault="00FA69A6" w:rsidP="00D623AD">
      <w:pPr>
        <w:pStyle w:val="Odlomakpopisa"/>
        <w:ind w:left="1080"/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          izgrađena su</w:t>
      </w:r>
      <w:r w:rsidR="00132FF2" w:rsidRPr="00F87FC7">
        <w:rPr>
          <w:rFonts w:cs="Arial"/>
          <w:sz w:val="24"/>
          <w:szCs w:val="24"/>
        </w:rPr>
        <w:t xml:space="preserve"> autobusnih stajališta</w:t>
      </w:r>
      <w:r w:rsidR="006D4DAF" w:rsidRPr="00F87FC7">
        <w:rPr>
          <w:rFonts w:cs="Arial"/>
          <w:sz w:val="24"/>
          <w:szCs w:val="24"/>
        </w:rPr>
        <w:t xml:space="preserve"> </w:t>
      </w:r>
      <w:r w:rsidRPr="00F87FC7">
        <w:rPr>
          <w:rFonts w:cs="Arial"/>
          <w:sz w:val="24"/>
          <w:szCs w:val="24"/>
        </w:rPr>
        <w:t xml:space="preserve">– sve </w:t>
      </w:r>
      <w:r w:rsidR="006D4DAF" w:rsidRPr="00F87FC7">
        <w:rPr>
          <w:rFonts w:cs="Arial"/>
          <w:sz w:val="24"/>
          <w:szCs w:val="24"/>
        </w:rPr>
        <w:t xml:space="preserve">u vrijednosti </w:t>
      </w:r>
      <w:r w:rsidRPr="00F87FC7">
        <w:rPr>
          <w:rFonts w:cs="Arial"/>
          <w:sz w:val="24"/>
          <w:szCs w:val="24"/>
        </w:rPr>
        <w:t>938.755,36</w:t>
      </w:r>
      <w:r w:rsidR="006D4DAF" w:rsidRPr="00F87FC7">
        <w:rPr>
          <w:rFonts w:cs="Arial"/>
          <w:sz w:val="24"/>
          <w:szCs w:val="24"/>
        </w:rPr>
        <w:t xml:space="preserve"> kun</w:t>
      </w:r>
      <w:r w:rsidRPr="00F87FC7">
        <w:rPr>
          <w:rFonts w:cs="Arial"/>
          <w:sz w:val="24"/>
          <w:szCs w:val="24"/>
        </w:rPr>
        <w:t>a</w:t>
      </w:r>
      <w:r w:rsidR="006D4DAF" w:rsidRPr="00F87FC7">
        <w:rPr>
          <w:rFonts w:cs="Arial"/>
          <w:sz w:val="24"/>
          <w:szCs w:val="24"/>
        </w:rPr>
        <w:t>,</w:t>
      </w:r>
    </w:p>
    <w:p w:rsidR="00224A63" w:rsidRPr="00F87FC7" w:rsidRDefault="006D4DAF" w:rsidP="00224A63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Izgradnja</w:t>
      </w:r>
      <w:r w:rsidR="00ED2F6C" w:rsidRPr="00F87FC7">
        <w:rPr>
          <w:rFonts w:cs="Arial"/>
          <w:sz w:val="24"/>
          <w:szCs w:val="24"/>
        </w:rPr>
        <w:t xml:space="preserve"> i rekonstrukcija</w:t>
      </w:r>
      <w:r w:rsidRPr="00F87FC7">
        <w:rPr>
          <w:rFonts w:cs="Arial"/>
          <w:sz w:val="24"/>
          <w:szCs w:val="24"/>
        </w:rPr>
        <w:t xml:space="preserve"> javne rasvjete </w:t>
      </w:r>
      <w:r w:rsidR="00FA69A6" w:rsidRPr="00F87FC7">
        <w:rPr>
          <w:rFonts w:cs="Arial"/>
          <w:sz w:val="24"/>
          <w:szCs w:val="24"/>
        </w:rPr>
        <w:t xml:space="preserve">– vrijednost </w:t>
      </w:r>
      <w:r w:rsidRPr="00F87FC7">
        <w:rPr>
          <w:rFonts w:cs="Arial"/>
          <w:sz w:val="24"/>
          <w:szCs w:val="24"/>
        </w:rPr>
        <w:t>u</w:t>
      </w:r>
      <w:r w:rsidR="00FA69A6" w:rsidRPr="00F87FC7">
        <w:rPr>
          <w:rFonts w:cs="Arial"/>
          <w:sz w:val="24"/>
          <w:szCs w:val="24"/>
        </w:rPr>
        <w:t xml:space="preserve">laganja </w:t>
      </w:r>
      <w:r w:rsidRPr="00F87FC7">
        <w:rPr>
          <w:rFonts w:cs="Arial"/>
          <w:sz w:val="24"/>
          <w:szCs w:val="24"/>
        </w:rPr>
        <w:t xml:space="preserve"> 559.013,08 kuna,</w:t>
      </w:r>
    </w:p>
    <w:p w:rsidR="006D4DAF" w:rsidRPr="00F87FC7" w:rsidRDefault="006D4DAF" w:rsidP="00224A63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Izgradnja područne škole </w:t>
      </w:r>
      <w:r w:rsidR="00FE3004" w:rsidRPr="00F87FC7">
        <w:rPr>
          <w:rFonts w:cs="Arial"/>
          <w:sz w:val="24"/>
          <w:szCs w:val="24"/>
        </w:rPr>
        <w:t xml:space="preserve">u </w:t>
      </w:r>
      <w:proofErr w:type="spellStart"/>
      <w:r w:rsidRPr="00F87FC7">
        <w:rPr>
          <w:rFonts w:cs="Arial"/>
          <w:sz w:val="24"/>
          <w:szCs w:val="24"/>
        </w:rPr>
        <w:t>Stipernic</w:t>
      </w:r>
      <w:r w:rsidR="00FE3004" w:rsidRPr="00F87FC7">
        <w:rPr>
          <w:rFonts w:cs="Arial"/>
          <w:sz w:val="24"/>
          <w:szCs w:val="24"/>
        </w:rPr>
        <w:t>i</w:t>
      </w:r>
      <w:proofErr w:type="spellEnd"/>
      <w:r w:rsidRPr="00F87FC7">
        <w:rPr>
          <w:rFonts w:cs="Arial"/>
          <w:sz w:val="24"/>
          <w:szCs w:val="24"/>
        </w:rPr>
        <w:t xml:space="preserve"> </w:t>
      </w:r>
      <w:r w:rsidR="00FA69A6" w:rsidRPr="00F87FC7">
        <w:rPr>
          <w:rFonts w:cs="Arial"/>
          <w:sz w:val="24"/>
          <w:szCs w:val="24"/>
        </w:rPr>
        <w:t xml:space="preserve">– vrijednost </w:t>
      </w:r>
      <w:r w:rsidRPr="00F87FC7">
        <w:rPr>
          <w:rFonts w:cs="Arial"/>
          <w:sz w:val="24"/>
          <w:szCs w:val="24"/>
        </w:rPr>
        <w:t>u</w:t>
      </w:r>
      <w:r w:rsidR="00FA69A6" w:rsidRPr="00F87FC7">
        <w:rPr>
          <w:rFonts w:cs="Arial"/>
          <w:sz w:val="24"/>
          <w:szCs w:val="24"/>
        </w:rPr>
        <w:t xml:space="preserve">laganja </w:t>
      </w:r>
      <w:r w:rsidRPr="00F87FC7">
        <w:rPr>
          <w:rFonts w:cs="Arial"/>
          <w:sz w:val="24"/>
          <w:szCs w:val="24"/>
        </w:rPr>
        <w:t xml:space="preserve"> 385.113,21 kunu,</w:t>
      </w:r>
    </w:p>
    <w:p w:rsidR="00132FF2" w:rsidRPr="00F87FC7" w:rsidRDefault="00132FF2" w:rsidP="00224A63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Ulaganje u infrastrukturu poslovne zona u visini 98.593,75 kuna</w:t>
      </w:r>
      <w:r w:rsidR="007030F1" w:rsidRPr="00F87FC7">
        <w:rPr>
          <w:rFonts w:cs="Arial"/>
          <w:sz w:val="24"/>
          <w:szCs w:val="24"/>
        </w:rPr>
        <w:t>,</w:t>
      </w:r>
    </w:p>
    <w:p w:rsidR="00AF7997" w:rsidRDefault="007030F1" w:rsidP="00224A63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Izgradnja „zelenih otoka“ </w:t>
      </w:r>
      <w:r w:rsidR="00443FE1">
        <w:rPr>
          <w:rFonts w:cs="Arial"/>
          <w:sz w:val="24"/>
          <w:szCs w:val="24"/>
        </w:rPr>
        <w:t>(Niskogradnja)</w:t>
      </w:r>
      <w:r w:rsidRPr="00F87FC7">
        <w:rPr>
          <w:rFonts w:cs="Arial"/>
          <w:sz w:val="24"/>
          <w:szCs w:val="24"/>
        </w:rPr>
        <w:t>– vrijednost ulaganja 65.000,00 kuna</w:t>
      </w:r>
      <w:r w:rsidR="00AF7997">
        <w:rPr>
          <w:rFonts w:cs="Arial"/>
          <w:sz w:val="24"/>
          <w:szCs w:val="24"/>
        </w:rPr>
        <w:t>,</w:t>
      </w:r>
    </w:p>
    <w:p w:rsidR="00AF7997" w:rsidRDefault="00AF7997" w:rsidP="00224A63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Izgradnja pogona za strojnu obradu metala sa opremom (Barić </w:t>
      </w:r>
      <w:proofErr w:type="spellStart"/>
      <w:r>
        <w:rPr>
          <w:rFonts w:cs="Arial"/>
          <w:sz w:val="24"/>
          <w:szCs w:val="24"/>
        </w:rPr>
        <w:t>alatničarstvo</w:t>
      </w:r>
      <w:proofErr w:type="spellEnd"/>
      <w:r>
        <w:rPr>
          <w:rFonts w:cs="Arial"/>
          <w:sz w:val="24"/>
          <w:szCs w:val="24"/>
        </w:rPr>
        <w:t>)</w:t>
      </w:r>
    </w:p>
    <w:p w:rsidR="00AF7997" w:rsidRDefault="00AF7997" w:rsidP="00AF7997">
      <w:pPr>
        <w:pStyle w:val="Odlomakpopis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Izvršeno ulaganje u halu u visini 2.940.112,00 i opremu 577.015,00 </w:t>
      </w:r>
      <w:r w:rsidRPr="00AF7997">
        <w:rPr>
          <w:rFonts w:cs="Arial"/>
          <w:sz w:val="24"/>
          <w:szCs w:val="24"/>
        </w:rPr>
        <w:t>kuna</w:t>
      </w:r>
      <w:r w:rsidR="00B008EB">
        <w:rPr>
          <w:rFonts w:cs="Arial"/>
          <w:sz w:val="24"/>
          <w:szCs w:val="24"/>
        </w:rPr>
        <w:t>,</w:t>
      </w:r>
    </w:p>
    <w:p w:rsidR="00572A07" w:rsidRDefault="00572A07" w:rsidP="00572A07">
      <w:pPr>
        <w:pStyle w:val="Odlomakpopis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Dovršetak magistralnih i tlačnih cjevovoda vodoopskrbnog sustava visoke zone </w:t>
      </w:r>
      <w:proofErr w:type="spellStart"/>
      <w:r>
        <w:rPr>
          <w:rFonts w:cs="Arial"/>
          <w:sz w:val="24"/>
          <w:szCs w:val="24"/>
        </w:rPr>
        <w:t>Vinagora</w:t>
      </w:r>
      <w:proofErr w:type="spellEnd"/>
      <w:r>
        <w:rPr>
          <w:rFonts w:cs="Arial"/>
          <w:sz w:val="24"/>
          <w:szCs w:val="24"/>
        </w:rPr>
        <w:t xml:space="preserve"> ( </w:t>
      </w:r>
      <w:r w:rsidR="00856B9E">
        <w:rPr>
          <w:rFonts w:cs="Arial"/>
          <w:sz w:val="24"/>
          <w:szCs w:val="24"/>
        </w:rPr>
        <w:t>VIOP</w:t>
      </w:r>
      <w:r>
        <w:rPr>
          <w:rFonts w:cs="Arial"/>
          <w:sz w:val="24"/>
          <w:szCs w:val="24"/>
        </w:rPr>
        <w:t xml:space="preserve">) – uloženo u radove  695.057,55 kuna </w:t>
      </w:r>
    </w:p>
    <w:p w:rsidR="00F87FC7" w:rsidRDefault="00F87FC7" w:rsidP="007030F1">
      <w:pPr>
        <w:spacing w:after="0"/>
        <w:jc w:val="both"/>
        <w:rPr>
          <w:rFonts w:cs="Arial"/>
          <w:sz w:val="24"/>
          <w:szCs w:val="24"/>
          <w:highlight w:val="lightGray"/>
        </w:rPr>
      </w:pPr>
    </w:p>
    <w:p w:rsidR="00BF4093" w:rsidRDefault="007030F1" w:rsidP="007030F1">
      <w:pPr>
        <w:spacing w:after="0"/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  <w:highlight w:val="lightGray"/>
        </w:rPr>
        <w:t>Strateški cilj 4</w:t>
      </w:r>
    </w:p>
    <w:p w:rsidR="00F32B66" w:rsidRPr="00F87FC7" w:rsidRDefault="00F32B66" w:rsidP="007030F1">
      <w:pPr>
        <w:spacing w:after="0"/>
        <w:jc w:val="both"/>
        <w:rPr>
          <w:rFonts w:cs="Arial"/>
          <w:sz w:val="24"/>
          <w:szCs w:val="24"/>
        </w:rPr>
      </w:pPr>
    </w:p>
    <w:p w:rsidR="007030F1" w:rsidRPr="00F87FC7" w:rsidRDefault="007030F1" w:rsidP="007030F1">
      <w:pPr>
        <w:spacing w:after="0"/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Transformacija lokalne uprave u funkciji gospodarskog razvoja i povećanja atraktivnosti Pregrade za privlačenje investicija</w:t>
      </w:r>
    </w:p>
    <w:p w:rsidR="007030F1" w:rsidRPr="00F87FC7" w:rsidRDefault="007030F1" w:rsidP="007030F1">
      <w:pPr>
        <w:spacing w:after="0"/>
        <w:jc w:val="both"/>
        <w:rPr>
          <w:rFonts w:cs="Arial"/>
          <w:sz w:val="24"/>
          <w:szCs w:val="24"/>
        </w:rPr>
      </w:pPr>
    </w:p>
    <w:p w:rsidR="007030F1" w:rsidRPr="00F87FC7" w:rsidRDefault="007030F1" w:rsidP="007030F1">
      <w:pPr>
        <w:spacing w:after="0"/>
        <w:jc w:val="both"/>
        <w:rPr>
          <w:rFonts w:cs="Arial"/>
          <w:sz w:val="24"/>
          <w:szCs w:val="24"/>
          <w:u w:val="single"/>
        </w:rPr>
      </w:pPr>
      <w:r w:rsidRPr="00F87FC7">
        <w:rPr>
          <w:rFonts w:cs="Arial"/>
          <w:sz w:val="24"/>
          <w:szCs w:val="24"/>
        </w:rPr>
        <w:t xml:space="preserve">           </w:t>
      </w:r>
      <w:r w:rsidRPr="00F87FC7">
        <w:rPr>
          <w:rFonts w:cs="Arial"/>
          <w:sz w:val="24"/>
          <w:szCs w:val="24"/>
          <w:u w:val="single"/>
        </w:rPr>
        <w:t>Projekti:</w:t>
      </w:r>
    </w:p>
    <w:p w:rsidR="007030F1" w:rsidRPr="00F87FC7" w:rsidRDefault="007030F1" w:rsidP="007030F1">
      <w:pPr>
        <w:spacing w:after="0"/>
        <w:jc w:val="both"/>
        <w:rPr>
          <w:rFonts w:cs="Arial"/>
          <w:sz w:val="24"/>
          <w:szCs w:val="24"/>
        </w:rPr>
      </w:pPr>
    </w:p>
    <w:p w:rsidR="007030F1" w:rsidRPr="00F87FC7" w:rsidRDefault="007030F1" w:rsidP="007030F1">
      <w:pPr>
        <w:spacing w:after="0"/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           </w:t>
      </w:r>
      <w:proofErr w:type="spellStart"/>
      <w:r w:rsidRPr="00F87FC7">
        <w:rPr>
          <w:rFonts w:cs="Arial"/>
          <w:sz w:val="24"/>
          <w:szCs w:val="24"/>
        </w:rPr>
        <w:t>Brendiranje</w:t>
      </w:r>
      <w:proofErr w:type="spellEnd"/>
      <w:r w:rsidRPr="00F87FC7">
        <w:rPr>
          <w:rFonts w:cs="Arial"/>
          <w:sz w:val="24"/>
          <w:szCs w:val="24"/>
        </w:rPr>
        <w:t xml:space="preserve"> grada i lokalne uprave kroz izradu višejezičnih marketing materijala i   </w:t>
      </w:r>
    </w:p>
    <w:p w:rsidR="007030F1" w:rsidRPr="00F87FC7" w:rsidRDefault="007030F1" w:rsidP="007030F1">
      <w:pPr>
        <w:spacing w:after="0"/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           portala  - vrijednost projekta 24.987,50 kuna</w:t>
      </w:r>
    </w:p>
    <w:p w:rsidR="00224A63" w:rsidRPr="00F87FC7" w:rsidRDefault="005022A4" w:rsidP="00BF4093">
      <w:pPr>
        <w:pStyle w:val="Naslov1"/>
        <w:numPr>
          <w:ilvl w:val="0"/>
          <w:numId w:val="5"/>
        </w:numPr>
        <w:rPr>
          <w:rFonts w:asciiTheme="minorHAnsi" w:hAnsiTheme="minorHAnsi"/>
        </w:rPr>
      </w:pPr>
      <w:bookmarkStart w:id="1" w:name="_Toc461101450"/>
      <w:r w:rsidRPr="00F87FC7">
        <w:rPr>
          <w:rFonts w:asciiTheme="minorHAnsi" w:hAnsiTheme="minorHAnsi"/>
        </w:rPr>
        <w:lastRenderedPageBreak/>
        <w:t xml:space="preserve">Provedba </w:t>
      </w:r>
      <w:r w:rsidR="006D4DAF" w:rsidRPr="00F87FC7">
        <w:rPr>
          <w:rFonts w:asciiTheme="minorHAnsi" w:hAnsiTheme="minorHAnsi"/>
        </w:rPr>
        <w:t>projekata Strateškog plana gospodarskog razvoja grada Pregrade</w:t>
      </w:r>
      <w:bookmarkEnd w:id="1"/>
    </w:p>
    <w:p w:rsidR="00517B16" w:rsidRPr="00F87FC7" w:rsidRDefault="00517B16" w:rsidP="00517B16">
      <w:pPr>
        <w:pStyle w:val="Odlomakpopisa"/>
        <w:jc w:val="both"/>
        <w:rPr>
          <w:rFonts w:cs="Arial"/>
        </w:rPr>
      </w:pPr>
    </w:p>
    <w:p w:rsidR="00517B16" w:rsidRPr="00F87FC7" w:rsidRDefault="00517B16" w:rsidP="00BF4093">
      <w:pPr>
        <w:pStyle w:val="Naslov2"/>
        <w:numPr>
          <w:ilvl w:val="1"/>
          <w:numId w:val="5"/>
        </w:numPr>
        <w:rPr>
          <w:rFonts w:asciiTheme="minorHAnsi" w:hAnsiTheme="minorHAnsi"/>
        </w:rPr>
      </w:pPr>
      <w:bookmarkStart w:id="2" w:name="_Toc461101451"/>
      <w:r w:rsidRPr="00F87FC7">
        <w:rPr>
          <w:rFonts w:asciiTheme="minorHAnsi" w:hAnsiTheme="minorHAnsi"/>
        </w:rPr>
        <w:t>Financijsko izvješće</w:t>
      </w:r>
      <w:bookmarkEnd w:id="2"/>
      <w:r w:rsidRPr="00F87FC7">
        <w:rPr>
          <w:rFonts w:asciiTheme="minorHAnsi" w:hAnsiTheme="minorHAnsi"/>
        </w:rPr>
        <w:t xml:space="preserve"> </w:t>
      </w:r>
    </w:p>
    <w:p w:rsidR="006D4DAF" w:rsidRPr="00F87FC7" w:rsidRDefault="006D4DAF" w:rsidP="006D4DAF">
      <w:pPr>
        <w:pStyle w:val="Odlomakpopisa"/>
        <w:jc w:val="both"/>
        <w:rPr>
          <w:rFonts w:cs="Arial"/>
          <w:sz w:val="24"/>
          <w:szCs w:val="24"/>
        </w:rPr>
      </w:pPr>
    </w:p>
    <w:p w:rsidR="006D4DAF" w:rsidRPr="00F87FC7" w:rsidRDefault="006D4DA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Izvještavanje se provodi jednom godišnje, a obuh</w:t>
      </w:r>
      <w:r w:rsidR="00CA782A" w:rsidRPr="00F87FC7">
        <w:rPr>
          <w:rFonts w:cs="Arial"/>
          <w:sz w:val="24"/>
          <w:szCs w:val="24"/>
        </w:rPr>
        <w:t>vaća razdoblje prethodne godine i provodi se za svaku godinu tijekom trajanja Strateškog plana gospodarskog razvoja grada Pregrade.</w:t>
      </w:r>
    </w:p>
    <w:p w:rsidR="00985D08" w:rsidRPr="00F87FC7" w:rsidRDefault="00CA782A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Cilj izvještavanja je prikaz projekata u jednoj kalendarskoj godini te prikaz planiranih sredstava te utrošena sredstva raspoređena prema izvorima financiranja</w:t>
      </w:r>
      <w:r w:rsidR="009153AF" w:rsidRPr="00F87FC7">
        <w:rPr>
          <w:rFonts w:cs="Arial"/>
          <w:sz w:val="24"/>
          <w:szCs w:val="24"/>
        </w:rPr>
        <w:t xml:space="preserve">. </w:t>
      </w:r>
      <w:r w:rsidRPr="00F87FC7">
        <w:rPr>
          <w:rFonts w:cs="Arial"/>
          <w:sz w:val="24"/>
          <w:szCs w:val="24"/>
        </w:rPr>
        <w:t>Izvori financiranja su državni proračun, županijski proračun, lokalni proračun, pomoć Europske unije</w:t>
      </w:r>
      <w:r w:rsidR="00681A85" w:rsidRPr="00F87FC7">
        <w:rPr>
          <w:rFonts w:cs="Arial"/>
          <w:sz w:val="24"/>
          <w:szCs w:val="24"/>
        </w:rPr>
        <w:t>, javna poduzeća</w:t>
      </w:r>
      <w:r w:rsidR="001A4E11" w:rsidRPr="00F87FC7">
        <w:rPr>
          <w:rFonts w:cs="Arial"/>
          <w:sz w:val="24"/>
          <w:szCs w:val="24"/>
        </w:rPr>
        <w:t>,</w:t>
      </w:r>
      <w:r w:rsidR="00681A85" w:rsidRPr="00F87FC7">
        <w:rPr>
          <w:rFonts w:cs="Arial"/>
          <w:sz w:val="24"/>
          <w:szCs w:val="24"/>
        </w:rPr>
        <w:t xml:space="preserve"> </w:t>
      </w:r>
      <w:r w:rsidR="009D5466" w:rsidRPr="00F87FC7">
        <w:rPr>
          <w:rFonts w:cs="Arial"/>
          <w:sz w:val="24"/>
          <w:szCs w:val="24"/>
        </w:rPr>
        <w:t>privatni investitori</w:t>
      </w:r>
      <w:r w:rsidRPr="00F87FC7">
        <w:rPr>
          <w:rFonts w:cs="Arial"/>
          <w:sz w:val="24"/>
          <w:szCs w:val="24"/>
        </w:rPr>
        <w:t xml:space="preserve"> te ostali izvori i ukupno. </w:t>
      </w:r>
    </w:p>
    <w:p w:rsidR="00F737F8" w:rsidRPr="00F87FC7" w:rsidRDefault="009153A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Izvještavanje obuhvaća razdoblje 2015. godine. </w:t>
      </w:r>
    </w:p>
    <w:p w:rsidR="00CA782A" w:rsidRPr="00F87FC7" w:rsidRDefault="00CA782A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Financ</w:t>
      </w:r>
      <w:r w:rsidR="005022A4" w:rsidRPr="00F87FC7">
        <w:rPr>
          <w:rFonts w:cs="Arial"/>
          <w:sz w:val="24"/>
          <w:szCs w:val="24"/>
        </w:rPr>
        <w:t xml:space="preserve">ijsko izvješće o provedbi </w:t>
      </w:r>
      <w:r w:rsidRPr="00F87FC7">
        <w:rPr>
          <w:rFonts w:cs="Arial"/>
          <w:sz w:val="24"/>
          <w:szCs w:val="24"/>
        </w:rPr>
        <w:t xml:space="preserve">projekata Strateškog plana gospodarskog razvoja grada Pregrade </w:t>
      </w:r>
      <w:r w:rsidR="005022A4" w:rsidRPr="00F87FC7">
        <w:rPr>
          <w:rFonts w:cs="Arial"/>
          <w:sz w:val="24"/>
          <w:szCs w:val="24"/>
        </w:rPr>
        <w:t>prikazano je u tablici Financijsko izvješće:</w:t>
      </w:r>
    </w:p>
    <w:p w:rsidR="00517B16" w:rsidRPr="00F87FC7" w:rsidRDefault="00517B16" w:rsidP="00691637">
      <w:pPr>
        <w:pStyle w:val="Odlomakpopisa"/>
        <w:jc w:val="both"/>
        <w:rPr>
          <w:rFonts w:cs="Arial"/>
          <w:sz w:val="24"/>
          <w:szCs w:val="24"/>
        </w:rPr>
      </w:pPr>
    </w:p>
    <w:p w:rsidR="009D538E" w:rsidRDefault="005022A4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Tablica 1 Financijsko izvješć</w:t>
      </w:r>
      <w:r w:rsidR="006504A0">
        <w:rPr>
          <w:rFonts w:cs="Arial"/>
          <w:sz w:val="24"/>
          <w:szCs w:val="24"/>
        </w:rPr>
        <w:t>e:</w:t>
      </w:r>
    </w:p>
    <w:tbl>
      <w:tblPr>
        <w:tblW w:w="4942" w:type="pct"/>
        <w:tblLayout w:type="fixed"/>
        <w:tblLook w:val="04A0"/>
      </w:tblPr>
      <w:tblGrid>
        <w:gridCol w:w="566"/>
        <w:gridCol w:w="1570"/>
        <w:gridCol w:w="1381"/>
        <w:gridCol w:w="1417"/>
        <w:gridCol w:w="1992"/>
        <w:gridCol w:w="1129"/>
        <w:gridCol w:w="1125"/>
      </w:tblGrid>
      <w:tr w:rsidR="006B6F09" w:rsidRPr="00F87FC7" w:rsidTr="001178B3">
        <w:trPr>
          <w:trHeight w:val="20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54061"/>
            <w:vAlign w:val="center"/>
            <w:hideMark/>
          </w:tcPr>
          <w:p w:rsidR="002F2BB3" w:rsidRDefault="002F2BB3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</w:p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54061"/>
            <w:vAlign w:val="bottom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STRATEŠKI CILJ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54061"/>
            <w:vAlign w:val="bottom"/>
            <w:hideMark/>
          </w:tcPr>
          <w:p w:rsidR="00BB5D9F" w:rsidRPr="00F87FC7" w:rsidRDefault="00BB5D9F" w:rsidP="00F32B66">
            <w:pPr>
              <w:spacing w:after="0" w:line="240" w:lineRule="auto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Operativni cilj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54061"/>
            <w:vAlign w:val="center"/>
            <w:hideMark/>
          </w:tcPr>
          <w:p w:rsidR="00F32B66" w:rsidRDefault="00F32B66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</w:p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54061"/>
            <w:vAlign w:val="bottom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54061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Ukupno planirano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54061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Ukupno realizirano</w:t>
            </w:r>
          </w:p>
        </w:tc>
      </w:tr>
      <w:tr w:rsidR="006B6F09" w:rsidRPr="00F87FC7" w:rsidTr="001178B3">
        <w:trPr>
          <w:trHeight w:val="20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POVEĆANJE KPACITETA ZA PRIVLAČENJE SREDSTAVA IZ EU FONDOVA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1.1.</w:t>
            </w: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:Do 2020. izraditi i kandidirati najmanje 30 projekata za financiranje iz EU fondova u vrijednosti od 20</w:t>
            </w:r>
            <w:r w:rsidR="006F01B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mln</w:t>
            </w:r>
            <w:proofErr w:type="spellEnd"/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. EUR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1.1.1.</w:t>
            </w: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Investicije u soft infrastrukturu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Kulturni centar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B6F09" w:rsidRPr="00F87FC7" w:rsidTr="001178B3">
        <w:trPr>
          <w:trHeight w:val="20"/>
        </w:trPr>
        <w:tc>
          <w:tcPr>
            <w:tcW w:w="37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E5DA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UKUPNO 1.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42.125,00</w:t>
            </w:r>
          </w:p>
        </w:tc>
      </w:tr>
      <w:tr w:rsidR="006B6F09" w:rsidRPr="00F87FC7" w:rsidTr="00CF2239">
        <w:trPr>
          <w:trHeight w:val="20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2.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POVEĆANJE KONKURENTNOSTI I RAST MALIH I SREDNJIH PODUZEĆA I OBITELJSKIH GOSPODARSTAVA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2.1.</w:t>
            </w: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Povećati broj poslovnih subjekata za 10 prosječno godišnje do 2020.(ukupno 70) te ostvariti novu zaposlenost u tim subjektima za 30-40 novozaposlenih godišnje 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2.1.1.</w:t>
            </w: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Poboljšanje lokalne investicijske klime/poticanje razvoja </w:t>
            </w:r>
            <w:proofErr w:type="spellStart"/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klastera</w:t>
            </w:r>
            <w:proofErr w:type="spellEnd"/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Gospodarski sajam tijekom Berbe </w:t>
            </w:r>
            <w:proofErr w:type="spellStart"/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Grojzdja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B6F09" w:rsidRPr="00F87FC7" w:rsidTr="00CF2239">
        <w:trPr>
          <w:trHeight w:val="20"/>
        </w:trPr>
        <w:tc>
          <w:tcPr>
            <w:tcW w:w="37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E5DA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UKUPNO 2.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41.698,75</w:t>
            </w:r>
          </w:p>
        </w:tc>
      </w:tr>
    </w:tbl>
    <w:p w:rsidR="00F32B66" w:rsidRDefault="00F32B66"/>
    <w:p w:rsidR="002F0E24" w:rsidRDefault="002F0E24"/>
    <w:p w:rsidR="00F32B66" w:rsidRDefault="00F32B66"/>
    <w:p w:rsidR="000E2D27" w:rsidRDefault="000E2D27"/>
    <w:tbl>
      <w:tblPr>
        <w:tblW w:w="4942" w:type="pct"/>
        <w:tblLayout w:type="fixed"/>
        <w:tblLook w:val="04A0"/>
      </w:tblPr>
      <w:tblGrid>
        <w:gridCol w:w="566"/>
        <w:gridCol w:w="1572"/>
        <w:gridCol w:w="1338"/>
        <w:gridCol w:w="42"/>
        <w:gridCol w:w="1417"/>
        <w:gridCol w:w="1992"/>
        <w:gridCol w:w="1129"/>
        <w:gridCol w:w="1124"/>
      </w:tblGrid>
      <w:tr w:rsidR="00F32B66" w:rsidRPr="00F87FC7" w:rsidTr="006504A0">
        <w:trPr>
          <w:trHeight w:val="20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54061"/>
            <w:vAlign w:val="center"/>
            <w:hideMark/>
          </w:tcPr>
          <w:p w:rsidR="002F2BB3" w:rsidRDefault="002F2BB3" w:rsidP="006504A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</w:p>
          <w:p w:rsidR="00F32B66" w:rsidRPr="00F87FC7" w:rsidRDefault="00F32B66" w:rsidP="006504A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54061"/>
            <w:vAlign w:val="bottom"/>
            <w:hideMark/>
          </w:tcPr>
          <w:p w:rsidR="00F32B66" w:rsidRPr="00F87FC7" w:rsidRDefault="00F32B66" w:rsidP="006504A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STRATEŠKI CILJ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54061"/>
            <w:vAlign w:val="bottom"/>
            <w:hideMark/>
          </w:tcPr>
          <w:p w:rsidR="00F32B66" w:rsidRPr="00F87FC7" w:rsidRDefault="00F32B66" w:rsidP="006504A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Operativni cilj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54061"/>
            <w:vAlign w:val="center"/>
            <w:hideMark/>
          </w:tcPr>
          <w:p w:rsidR="002F2BB3" w:rsidRDefault="002F2BB3" w:rsidP="006504A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</w:p>
          <w:p w:rsidR="00F32B66" w:rsidRPr="00F87FC7" w:rsidRDefault="00F32B66" w:rsidP="006504A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54061"/>
            <w:vAlign w:val="bottom"/>
            <w:hideMark/>
          </w:tcPr>
          <w:p w:rsidR="00F32B66" w:rsidRPr="00F87FC7" w:rsidRDefault="00F32B66" w:rsidP="006504A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54061"/>
            <w:vAlign w:val="center"/>
            <w:hideMark/>
          </w:tcPr>
          <w:p w:rsidR="00F32B66" w:rsidRPr="00F87FC7" w:rsidRDefault="00F32B66" w:rsidP="006504A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Ukupno planirano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54061"/>
            <w:vAlign w:val="center"/>
            <w:hideMark/>
          </w:tcPr>
          <w:p w:rsidR="00F32B66" w:rsidRPr="00F87FC7" w:rsidRDefault="00F32B66" w:rsidP="006504A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Ukupno realizirano</w:t>
            </w:r>
          </w:p>
        </w:tc>
      </w:tr>
      <w:tr w:rsidR="006B6F09" w:rsidRPr="00F87FC7" w:rsidTr="006504A0">
        <w:trPr>
          <w:trHeight w:val="20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B66" w:rsidRDefault="002F2BB3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3.</w:t>
            </w:r>
          </w:p>
          <w:p w:rsidR="00F32B66" w:rsidRPr="00F87FC7" w:rsidRDefault="00F32B66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IZGRADNJA HARD I SOFT INFRASTRUKTURE POTREBNE ZA RAST POSLOVANJA I UGODAN ŽIVOT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3.1. </w:t>
            </w: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Do 2020.investirati u projekte infras</w:t>
            </w:r>
            <w:r w:rsidR="00E5061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t</w:t>
            </w: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rukture radi eliminiranja glavnih deset prepreka i ograničenja definiranih anketom o lokalnom poslovnom okruženju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3.1.1.</w:t>
            </w: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 </w:t>
            </w:r>
            <w:r w:rsidRPr="00F87F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3.1.2.</w:t>
            </w: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Investicije u soft/investicije u </w:t>
            </w:r>
            <w:proofErr w:type="spellStart"/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hard</w:t>
            </w:r>
            <w:proofErr w:type="spellEnd"/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infrastrukturu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Zamjena dotrajale stolarije i fasade na objektu "DV Naša radost"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B6F09" w:rsidRPr="00F87FC7" w:rsidTr="006504A0">
        <w:trPr>
          <w:trHeight w:val="20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Sanacija divljih odlagališta(zaseban projekt za svako odlagalište)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B6F09" w:rsidRPr="00F87FC7" w:rsidTr="006504A0">
        <w:trPr>
          <w:trHeight w:val="20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Sanacija nerazvrstanih cesta na </w:t>
            </w:r>
            <w:proofErr w:type="spellStart"/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poručju</w:t>
            </w:r>
            <w:proofErr w:type="spellEnd"/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grada Pregrade(oko 90 km nerazvrstanih cesta)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B6F09" w:rsidRPr="00F87FC7" w:rsidTr="006504A0">
        <w:trPr>
          <w:trHeight w:val="1253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Obnova , sanacija i vrednovanje povijesnih zidina </w:t>
            </w:r>
            <w:proofErr w:type="spellStart"/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Kostel</w:t>
            </w:r>
            <w:proofErr w:type="spellEnd"/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-grada u svrhu uključivanja u turističke i kulturne ponude grada Pregrade i KZŽ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504A0" w:rsidRPr="00F87FC7" w:rsidTr="006504A0">
        <w:trPr>
          <w:trHeight w:val="548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Izgradnja pogona za strojnu obradu metala sa opremom (Barić </w:t>
            </w:r>
            <w:proofErr w:type="spellStart"/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alatničarstvo</w:t>
            </w:r>
            <w:proofErr w:type="spellEnd"/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04A0" w:rsidRPr="00F87FC7" w:rsidTr="006504A0">
        <w:trPr>
          <w:trHeight w:val="548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A0" w:rsidRPr="006504A0" w:rsidRDefault="006504A0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Izgradnja područne škole </w:t>
            </w:r>
            <w:proofErr w:type="spellStart"/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Stipernica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04A0" w:rsidRPr="00F87FC7" w:rsidTr="006504A0">
        <w:trPr>
          <w:trHeight w:val="548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A0" w:rsidRPr="006504A0" w:rsidRDefault="006504A0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Rekonstrukcija javne rasvjete na području grada Pregrade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04A0" w:rsidRPr="00F87FC7" w:rsidTr="006504A0">
        <w:trPr>
          <w:trHeight w:val="548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A0" w:rsidRPr="006504A0" w:rsidRDefault="006504A0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Postavljanje radarskih mjerača brzine kretanja i led indikatora na kritičnim pješačkim prijelazima (Hrvatske ceste 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04A0" w:rsidRPr="00F87FC7" w:rsidTr="006504A0">
        <w:trPr>
          <w:trHeight w:val="548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A0" w:rsidRPr="006504A0" w:rsidRDefault="006504A0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Kupnja stroja za rotaci</w:t>
            </w:r>
            <w:r w:rsidR="002F3CD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</w:t>
            </w: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ni lijev PRM -5000 i druga oprema (</w:t>
            </w:r>
            <w:proofErr w:type="spellStart"/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Okiroto</w:t>
            </w:r>
            <w:proofErr w:type="spellEnd"/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04A0" w:rsidRPr="00F87FC7" w:rsidTr="006504A0">
        <w:trPr>
          <w:trHeight w:val="548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A0" w:rsidRPr="006504A0" w:rsidRDefault="006504A0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Sanacija klizišta na području grada Pregrade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04A0" w:rsidRPr="00F87FC7" w:rsidTr="006504A0">
        <w:trPr>
          <w:trHeight w:val="805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A0" w:rsidRPr="006504A0" w:rsidRDefault="006504A0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Vodoopskrbni sustav visoke zone VINAGORA,vodospremnik </w:t>
            </w:r>
            <w:proofErr w:type="spellStart"/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Vinagora</w:t>
            </w:r>
            <w:proofErr w:type="spellEnd"/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(VIOP)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04A0" w:rsidRPr="00F87FC7" w:rsidTr="006504A0">
        <w:trPr>
          <w:trHeight w:val="548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A0" w:rsidRPr="006504A0" w:rsidRDefault="006504A0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Projektiranje i izgradnja uređaja za pročišćavanje otpadnih voda (VIOP)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504A0" w:rsidRPr="00F87FC7" w:rsidTr="006504A0">
        <w:trPr>
          <w:trHeight w:val="548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A0" w:rsidRPr="006504A0" w:rsidRDefault="006504A0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Upravljanje gubicima i sanacija gubitaka na vodoopskrbnom sustavu Pregrade (VIOP)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B6F09" w:rsidRPr="00F87FC7" w:rsidTr="006504A0">
        <w:trPr>
          <w:trHeight w:val="20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3.1.3.</w:t>
            </w: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i </w:t>
            </w:r>
            <w:r w:rsidRPr="00F87F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3.1.4.</w:t>
            </w: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Umrežavanje rada civilnog društva s gradom i poduzetnicima /unapređenje kulturnih i sportskih sadržaja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Izgradnja i obnova dječjih igrališta u svakom mjesnom odboru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B6F09" w:rsidRPr="00F87FC7" w:rsidTr="006504A0">
        <w:trPr>
          <w:trHeight w:val="568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6504A0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Poticajno okruženje za razvoj civilnog društva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B6F09" w:rsidRPr="00F87FC7" w:rsidTr="006504A0">
        <w:trPr>
          <w:trHeight w:val="20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Nabava knjiga u knjižnici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B6F09" w:rsidRPr="00F87FC7" w:rsidTr="00CF2239">
        <w:trPr>
          <w:trHeight w:val="20"/>
        </w:trPr>
        <w:tc>
          <w:tcPr>
            <w:tcW w:w="3773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E5DA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UKUPNO 3.</w:t>
            </w:r>
          </w:p>
        </w:tc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BB5D9F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8.157.051,79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BB5D9F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5.717.969,90</w:t>
            </w:r>
          </w:p>
        </w:tc>
      </w:tr>
    </w:tbl>
    <w:p w:rsidR="00CF2239" w:rsidRDefault="00CF2239">
      <w:r>
        <w:br w:type="page"/>
      </w:r>
    </w:p>
    <w:tbl>
      <w:tblPr>
        <w:tblW w:w="4942" w:type="pct"/>
        <w:tblLayout w:type="fixed"/>
        <w:tblLook w:val="04A0"/>
      </w:tblPr>
      <w:tblGrid>
        <w:gridCol w:w="566"/>
        <w:gridCol w:w="1572"/>
        <w:gridCol w:w="1338"/>
        <w:gridCol w:w="42"/>
        <w:gridCol w:w="1417"/>
        <w:gridCol w:w="1992"/>
        <w:gridCol w:w="1129"/>
        <w:gridCol w:w="1124"/>
      </w:tblGrid>
      <w:tr w:rsidR="00CF2239" w:rsidRPr="00F87FC7" w:rsidTr="00CF2239">
        <w:trPr>
          <w:trHeight w:val="20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54061"/>
            <w:vAlign w:val="center"/>
            <w:hideMark/>
          </w:tcPr>
          <w:p w:rsidR="00CF2239" w:rsidRDefault="00CF2239" w:rsidP="00B0692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</w:p>
          <w:p w:rsidR="00CF2239" w:rsidRPr="00F87FC7" w:rsidRDefault="00CF2239" w:rsidP="00B0692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54061"/>
            <w:vAlign w:val="bottom"/>
            <w:hideMark/>
          </w:tcPr>
          <w:p w:rsidR="00CF2239" w:rsidRPr="00F87FC7" w:rsidRDefault="00CF2239" w:rsidP="00B0692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STRATEŠKI CILJ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54061"/>
            <w:vAlign w:val="bottom"/>
            <w:hideMark/>
          </w:tcPr>
          <w:p w:rsidR="00CF2239" w:rsidRPr="00F87FC7" w:rsidRDefault="00CF2239" w:rsidP="00B0692F">
            <w:pPr>
              <w:spacing w:after="0" w:line="240" w:lineRule="auto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Operativni cilj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54061"/>
            <w:vAlign w:val="center"/>
            <w:hideMark/>
          </w:tcPr>
          <w:p w:rsidR="00CF2239" w:rsidRDefault="00CF2239" w:rsidP="00B0692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</w:p>
          <w:p w:rsidR="00CF2239" w:rsidRPr="00F87FC7" w:rsidRDefault="00CF2239" w:rsidP="00B0692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54061"/>
            <w:vAlign w:val="bottom"/>
            <w:hideMark/>
          </w:tcPr>
          <w:p w:rsidR="00CF2239" w:rsidRPr="00F87FC7" w:rsidRDefault="00CF2239" w:rsidP="00B0692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54061"/>
            <w:vAlign w:val="center"/>
            <w:hideMark/>
          </w:tcPr>
          <w:p w:rsidR="00CF2239" w:rsidRPr="00F87FC7" w:rsidRDefault="00CF2239" w:rsidP="00B0692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Ukupno planirano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54061"/>
            <w:vAlign w:val="center"/>
            <w:hideMark/>
          </w:tcPr>
          <w:p w:rsidR="00CF2239" w:rsidRPr="00F87FC7" w:rsidRDefault="00CF2239" w:rsidP="00B0692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FFFFFF"/>
                <w:sz w:val="16"/>
                <w:szCs w:val="16"/>
                <w:lang w:eastAsia="hr-HR"/>
              </w:rPr>
              <w:t>Ukupno realizirano</w:t>
            </w:r>
          </w:p>
        </w:tc>
      </w:tr>
      <w:tr w:rsidR="006B6F09" w:rsidRPr="006504A0" w:rsidTr="00CF2239">
        <w:trPr>
          <w:trHeight w:val="20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5D9F" w:rsidRPr="006504A0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4A0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TRANSFORMACIJA LOKALNE UPRAVE  U FUNKCIJI GOSPODARSKOG RAZVOJA I POVEĆANJA ATRAKTIVNOSTI </w:t>
            </w:r>
          </w:p>
          <w:p w:rsidR="00BB5D9F" w:rsidRPr="006504A0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PREGRADE ZA PRIVLAČENJE INVESTICIJA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D9F" w:rsidRPr="006504A0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4.1. </w:t>
            </w: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Do 2020. sma</w:t>
            </w:r>
            <w:r w:rsidR="00190EBA"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</w:t>
            </w: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jiti za 40% prigovore lokalnih poduzetnika na rad odjela i službi Grada te udvostručiti razinu privatnih ulaganja na području Grada do 2018.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D9F" w:rsidRPr="006504A0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4.1.1.</w:t>
            </w: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i </w:t>
            </w:r>
            <w:r w:rsidRPr="006504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4.1.2.</w:t>
            </w: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Prostorno planiranje /strategije regeneracije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239" w:rsidRDefault="00CF2239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CF2239" w:rsidRDefault="00CF2239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BB5D9F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Izrada prostornog plana</w:t>
            </w:r>
          </w:p>
          <w:p w:rsidR="00CF2239" w:rsidRDefault="00CF2239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CF2239" w:rsidRPr="006504A0" w:rsidRDefault="00CF2239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D9F" w:rsidRPr="006504A0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6504A0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504A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B6F09" w:rsidRPr="00F87FC7" w:rsidTr="00CF2239">
        <w:trPr>
          <w:trHeight w:val="20"/>
        </w:trPr>
        <w:tc>
          <w:tcPr>
            <w:tcW w:w="30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2F3C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Nabav</w:t>
            </w:r>
            <w:r w:rsidR="002F3CD6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</w:t>
            </w: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 opreme za rad gradske uprave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504A0" w:rsidRPr="00F87FC7" w:rsidTr="00CF2239">
        <w:trPr>
          <w:trHeight w:val="20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4A0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6B6F09" w:rsidRPr="00F87FC7" w:rsidTr="006504A0">
        <w:trPr>
          <w:trHeight w:val="20"/>
        </w:trPr>
        <w:tc>
          <w:tcPr>
            <w:tcW w:w="37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E5DA"/>
            <w:vAlign w:val="center"/>
            <w:hideMark/>
          </w:tcPr>
          <w:p w:rsidR="00BB5D9F" w:rsidRPr="00F87FC7" w:rsidRDefault="00BB5D9F" w:rsidP="00BB5D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UKUPNO 4.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BB5D9F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252.088,60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BB5D9F" w:rsidRPr="00F87FC7" w:rsidRDefault="006504A0" w:rsidP="00BB5D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246.675,30</w:t>
            </w:r>
          </w:p>
        </w:tc>
      </w:tr>
      <w:tr w:rsidR="006B6F09" w:rsidRPr="00F87FC7" w:rsidTr="006504A0">
        <w:trPr>
          <w:trHeight w:val="20"/>
        </w:trPr>
        <w:tc>
          <w:tcPr>
            <w:tcW w:w="18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UKUPNO  SC1+SC2 +SC3+SC4: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B5D9F" w:rsidRPr="00F87FC7" w:rsidRDefault="00BB5D9F" w:rsidP="00BB5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87F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B5D9F" w:rsidRPr="00F87FC7" w:rsidRDefault="001178B3" w:rsidP="00117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8.494.140,39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B5D9F" w:rsidRPr="00F87FC7" w:rsidRDefault="001178B3" w:rsidP="00117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6.048.468,95</w:t>
            </w:r>
          </w:p>
        </w:tc>
      </w:tr>
    </w:tbl>
    <w:p w:rsidR="00004EBA" w:rsidRPr="00F87FC7" w:rsidRDefault="00004EBA" w:rsidP="006D4DAF">
      <w:pPr>
        <w:pStyle w:val="Odlomakpopisa"/>
        <w:jc w:val="both"/>
        <w:rPr>
          <w:rFonts w:cs="Arial"/>
        </w:rPr>
      </w:pPr>
    </w:p>
    <w:p w:rsidR="003133D4" w:rsidRPr="00F87FC7" w:rsidRDefault="003133D4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Temeljem prikupljenih i analiziranih financijskih podataka vidljivo je da su predviđ</w:t>
      </w:r>
      <w:r w:rsidR="001178B3">
        <w:rPr>
          <w:rFonts w:cs="Arial"/>
          <w:sz w:val="24"/>
          <w:szCs w:val="24"/>
        </w:rPr>
        <w:t>eni projekti provedeni u visini 71,25</w:t>
      </w:r>
      <w:r w:rsidR="00985D08" w:rsidRPr="00F87FC7">
        <w:rPr>
          <w:rFonts w:cs="Arial"/>
          <w:sz w:val="24"/>
          <w:szCs w:val="24"/>
        </w:rPr>
        <w:t xml:space="preserve"> </w:t>
      </w:r>
      <w:r w:rsidRPr="00F87FC7">
        <w:rPr>
          <w:rFonts w:cs="Arial"/>
          <w:sz w:val="24"/>
          <w:szCs w:val="24"/>
        </w:rPr>
        <w:t>% planiranih sredstava. Podaci pokazuju da su ostvareni pozitivni koraci u planiranju proračuna i provedbi Strateškog plana gospodarskog razvoja Grada Pregrade te da je proračun planiran sukladno lokalnoj strategiji.</w:t>
      </w:r>
    </w:p>
    <w:p w:rsidR="004C374A" w:rsidRPr="00F87FC7" w:rsidRDefault="004C374A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Financijsko izvješće prikazuje da </w:t>
      </w:r>
      <w:r w:rsidR="00132FF2" w:rsidRPr="00F87FC7">
        <w:rPr>
          <w:rFonts w:cs="Arial"/>
          <w:sz w:val="24"/>
          <w:szCs w:val="24"/>
        </w:rPr>
        <w:t xml:space="preserve">je ukupno u 2015. godini za sva četiri strateška cilja utrošeno </w:t>
      </w:r>
      <w:r w:rsidR="001178B3">
        <w:rPr>
          <w:rFonts w:cs="Arial"/>
          <w:sz w:val="24"/>
          <w:szCs w:val="24"/>
        </w:rPr>
        <w:t xml:space="preserve"> 6.048.468,95  </w:t>
      </w:r>
      <w:r w:rsidR="00132FF2" w:rsidRPr="00F87FC7">
        <w:rPr>
          <w:rFonts w:cs="Arial"/>
          <w:sz w:val="24"/>
          <w:szCs w:val="24"/>
        </w:rPr>
        <w:t xml:space="preserve">kuna </w:t>
      </w:r>
      <w:proofErr w:type="spellStart"/>
      <w:r w:rsidR="00132FF2" w:rsidRPr="00F87FC7">
        <w:rPr>
          <w:rFonts w:cs="Arial"/>
          <w:sz w:val="24"/>
          <w:szCs w:val="24"/>
        </w:rPr>
        <w:t>tj</w:t>
      </w:r>
      <w:proofErr w:type="spellEnd"/>
      <w:r w:rsidR="00132FF2" w:rsidRPr="00F87FC7">
        <w:rPr>
          <w:rFonts w:cs="Arial"/>
          <w:sz w:val="24"/>
          <w:szCs w:val="24"/>
        </w:rPr>
        <w:t xml:space="preserve">. </w:t>
      </w:r>
      <w:r w:rsidR="001178B3">
        <w:rPr>
          <w:rFonts w:cs="Arial"/>
          <w:sz w:val="24"/>
          <w:szCs w:val="24"/>
        </w:rPr>
        <w:t xml:space="preserve">71,25 </w:t>
      </w:r>
      <w:r w:rsidR="00D55F48" w:rsidRPr="00F87FC7">
        <w:rPr>
          <w:rFonts w:cs="Arial"/>
          <w:sz w:val="24"/>
          <w:szCs w:val="24"/>
        </w:rPr>
        <w:t>u</w:t>
      </w:r>
      <w:r w:rsidR="00132FF2" w:rsidRPr="00F87FC7">
        <w:rPr>
          <w:rFonts w:cs="Arial"/>
          <w:sz w:val="24"/>
          <w:szCs w:val="24"/>
        </w:rPr>
        <w:t xml:space="preserve"> odnosu na  plan. </w:t>
      </w:r>
      <w:r w:rsidR="00427816">
        <w:rPr>
          <w:rFonts w:cs="Arial"/>
          <w:sz w:val="24"/>
          <w:szCs w:val="24"/>
        </w:rPr>
        <w:t>Najznačajnija ulaganja bila su u sklopu programa</w:t>
      </w:r>
      <w:r w:rsidR="00132FF2" w:rsidRPr="00F87FC7">
        <w:rPr>
          <w:rFonts w:cs="Arial"/>
          <w:sz w:val="24"/>
          <w:szCs w:val="24"/>
        </w:rPr>
        <w:t xml:space="preserve"> </w:t>
      </w:r>
      <w:r w:rsidRPr="00F87FC7">
        <w:rPr>
          <w:rFonts w:cs="Arial"/>
          <w:sz w:val="24"/>
          <w:szCs w:val="24"/>
        </w:rPr>
        <w:t xml:space="preserve">izgradnje </w:t>
      </w:r>
      <w:proofErr w:type="spellStart"/>
      <w:r w:rsidRPr="00F87FC7">
        <w:rPr>
          <w:rFonts w:cs="Arial"/>
          <w:sz w:val="24"/>
          <w:szCs w:val="24"/>
        </w:rPr>
        <w:t>hard</w:t>
      </w:r>
      <w:proofErr w:type="spellEnd"/>
      <w:r w:rsidRPr="00F87FC7">
        <w:rPr>
          <w:rFonts w:cs="Arial"/>
          <w:sz w:val="24"/>
          <w:szCs w:val="24"/>
        </w:rPr>
        <w:t xml:space="preserve"> i soft infrastrukture potrebne za rast poslovanja i ugodan život.</w:t>
      </w:r>
      <w:r w:rsidR="00132FF2" w:rsidRPr="00F87FC7">
        <w:rPr>
          <w:rFonts w:cs="Arial"/>
          <w:sz w:val="24"/>
          <w:szCs w:val="24"/>
        </w:rPr>
        <w:t xml:space="preserve"> </w:t>
      </w:r>
      <w:r w:rsidR="00EE79DB" w:rsidRPr="00F87FC7">
        <w:rPr>
          <w:rFonts w:cs="Arial"/>
          <w:sz w:val="24"/>
          <w:szCs w:val="24"/>
        </w:rPr>
        <w:t xml:space="preserve">Od ukupno planiranih sredstava u visini </w:t>
      </w:r>
      <w:r w:rsidR="001178B3">
        <w:rPr>
          <w:rFonts w:cs="Arial"/>
          <w:sz w:val="24"/>
          <w:szCs w:val="24"/>
        </w:rPr>
        <w:t xml:space="preserve">8.157.051,79 </w:t>
      </w:r>
      <w:r w:rsidR="00EE79DB" w:rsidRPr="00F87FC7">
        <w:rPr>
          <w:rFonts w:cs="Arial"/>
          <w:sz w:val="24"/>
          <w:szCs w:val="24"/>
        </w:rPr>
        <w:t>utrošeno je</w:t>
      </w:r>
      <w:r w:rsidR="001178B3">
        <w:rPr>
          <w:rFonts w:cs="Arial"/>
          <w:sz w:val="24"/>
          <w:szCs w:val="24"/>
        </w:rPr>
        <w:t xml:space="preserve"> 5.717.969,90</w:t>
      </w:r>
      <w:r w:rsidR="00EE79DB" w:rsidRPr="00F87FC7">
        <w:rPr>
          <w:rFonts w:cs="Arial"/>
          <w:sz w:val="24"/>
          <w:szCs w:val="24"/>
        </w:rPr>
        <w:t xml:space="preserve"> odnosno </w:t>
      </w:r>
      <w:r w:rsidR="001178B3">
        <w:rPr>
          <w:rFonts w:cs="Arial"/>
          <w:sz w:val="24"/>
          <w:szCs w:val="24"/>
        </w:rPr>
        <w:t xml:space="preserve">70 </w:t>
      </w:r>
      <w:r w:rsidR="00EE79DB" w:rsidRPr="00F87FC7">
        <w:rPr>
          <w:rFonts w:cs="Arial"/>
          <w:sz w:val="24"/>
          <w:szCs w:val="24"/>
        </w:rPr>
        <w:t>%.</w:t>
      </w:r>
    </w:p>
    <w:p w:rsidR="002F2BB3" w:rsidRDefault="002F2BB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517B16" w:rsidRPr="00F87FC7" w:rsidRDefault="00517B16" w:rsidP="00BF4093">
      <w:pPr>
        <w:pStyle w:val="Naslov2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bookmarkStart w:id="3" w:name="_Toc461101452"/>
      <w:r w:rsidRPr="00F87FC7">
        <w:rPr>
          <w:rFonts w:asciiTheme="minorHAnsi" w:hAnsiTheme="minorHAnsi"/>
          <w:sz w:val="24"/>
          <w:szCs w:val="24"/>
        </w:rPr>
        <w:lastRenderedPageBreak/>
        <w:t>Izvješće o pokazateljima rezultata</w:t>
      </w:r>
      <w:bookmarkEnd w:id="3"/>
    </w:p>
    <w:p w:rsidR="00427816" w:rsidRDefault="00427816" w:rsidP="00607516">
      <w:pPr>
        <w:jc w:val="both"/>
        <w:rPr>
          <w:rFonts w:cs="Arial"/>
          <w:sz w:val="24"/>
          <w:szCs w:val="24"/>
        </w:rPr>
      </w:pPr>
    </w:p>
    <w:p w:rsidR="000B6670" w:rsidRPr="00F87FC7" w:rsidRDefault="000B6670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Pokazatelji rezultata </w:t>
      </w:r>
      <w:r w:rsidR="00B71553" w:rsidRPr="00F87FC7">
        <w:rPr>
          <w:rFonts w:cs="Arial"/>
          <w:sz w:val="24"/>
          <w:szCs w:val="24"/>
        </w:rPr>
        <w:t xml:space="preserve"> provedbe projekata</w:t>
      </w:r>
      <w:r w:rsidR="009A2C14" w:rsidRPr="00F87FC7">
        <w:rPr>
          <w:rFonts w:cs="Arial"/>
          <w:sz w:val="24"/>
          <w:szCs w:val="24"/>
        </w:rPr>
        <w:t xml:space="preserve"> prikazani su u tablici pokazatelji rezultata</w:t>
      </w:r>
      <w:r w:rsidR="00427816">
        <w:rPr>
          <w:rFonts w:cs="Arial"/>
          <w:sz w:val="24"/>
          <w:szCs w:val="24"/>
        </w:rPr>
        <w:t>, međutim nismo bili u mogućnosti skupiti informacije o pokazateljima rezultata od svih dionika.</w:t>
      </w:r>
    </w:p>
    <w:p w:rsidR="000E2D27" w:rsidRDefault="009A2C14" w:rsidP="00517B16">
      <w:pPr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Tablica 2 Pokazatelji rezultata </w:t>
      </w:r>
      <w:r w:rsidR="00B71553" w:rsidRPr="00F87FC7">
        <w:rPr>
          <w:rFonts w:cs="Arial"/>
          <w:sz w:val="24"/>
          <w:szCs w:val="24"/>
        </w:rPr>
        <w:t>:</w:t>
      </w:r>
    </w:p>
    <w:tbl>
      <w:tblPr>
        <w:tblW w:w="5000" w:type="pct"/>
        <w:tblLook w:val="04A0"/>
      </w:tblPr>
      <w:tblGrid>
        <w:gridCol w:w="562"/>
        <w:gridCol w:w="1595"/>
        <w:gridCol w:w="1356"/>
        <w:gridCol w:w="1480"/>
        <w:gridCol w:w="2400"/>
        <w:gridCol w:w="833"/>
        <w:gridCol w:w="1062"/>
      </w:tblGrid>
      <w:tr w:rsidR="009600B4" w:rsidRPr="009600B4" w:rsidTr="009600B4">
        <w:trPr>
          <w:trHeight w:val="300"/>
        </w:trPr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STRATEŠKI CILJ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244062"/>
            <w:noWrap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Operativni cilj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53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Projekt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hr-HR"/>
              </w:rPr>
              <w:t>Stupanj prioriteta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Pokazatelj rezultata (količina-2015)</w:t>
            </w:r>
          </w:p>
        </w:tc>
      </w:tr>
      <w:tr w:rsidR="009600B4" w:rsidRPr="009600B4" w:rsidTr="009600B4">
        <w:trPr>
          <w:trHeight w:val="683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</w:p>
        </w:tc>
      </w:tr>
      <w:tr w:rsidR="009600B4" w:rsidRPr="009600B4" w:rsidTr="009600B4">
        <w:trPr>
          <w:trHeight w:val="202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POVEĆANJE KPACITETA ZA PRIVLAČENJE SREDSTAVA IZ EU FONDOVA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1.1.</w:t>
            </w:r>
            <w:r w:rsidRPr="009600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:Do 2020. izraditi i kandidirati najmanje 30 projekata za financiranje iz EU fondova u vrijednosti od 20mln. EUR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1.1.1.</w:t>
            </w: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Investicije u soft infrastrukturu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Kulturni centar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Projekti za 1 Kulturni centar</w:t>
            </w:r>
          </w:p>
        </w:tc>
      </w:tr>
      <w:tr w:rsidR="009600B4" w:rsidRPr="009600B4" w:rsidTr="009600B4">
        <w:trPr>
          <w:trHeight w:val="29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2.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POVEĆANJE KONKURENTNOSTI I RAST MALIH I SREDNJIH PODUZEĆA I OBITELJSKIH GOSPODARSTAVA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2.1.</w:t>
            </w:r>
            <w:r w:rsidRPr="009600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Povećati broj poslovnih subjekata za 10 prosječno godišnje do 2020.(ukupno 70) te ostvariti novu zaposlenost u tim subjektima za 30-40 novozaposlenih godišnje 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2.1.1.</w:t>
            </w: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Poboljšanje lokalne investicijske klime/poticanje razvoja 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klastera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Gospodarski sajam tijekom  Berbe 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Grojzdja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do 1000 posjetitelja</w:t>
            </w:r>
          </w:p>
        </w:tc>
      </w:tr>
      <w:tr w:rsidR="009600B4" w:rsidRPr="009600B4" w:rsidTr="009600B4">
        <w:trPr>
          <w:trHeight w:val="492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IZGRADNJA HARD I SOFT INFRASTRUKTURE POTREBNE ZA RAST POSLOVANJA I UGODAN ŽIVOT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3.1. </w:t>
            </w: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Do 2020.investirati u projekte 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infrasrukture</w:t>
            </w:r>
            <w:proofErr w:type="spellEnd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radi eliminiranja glavnih deset prepreka i ograničenja definiranih anketom o lokalnom poslovnom okruženju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3.1.1.</w:t>
            </w: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 </w:t>
            </w:r>
            <w:r w:rsidRPr="009600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3.1.2.</w:t>
            </w: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Investicije u soft/investicije u 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hard</w:t>
            </w:r>
            <w:proofErr w:type="spellEnd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infrastrukturu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Zamjena dotrajale stolarije i fasade na objektu "DV Naša radost"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 objekt vrtića, upisano 106 djece</w:t>
            </w:r>
          </w:p>
        </w:tc>
      </w:tr>
      <w:tr w:rsidR="009600B4" w:rsidRPr="009600B4" w:rsidTr="009600B4">
        <w:trPr>
          <w:trHeight w:val="48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Sanacija divljih odlagališta(zaseban projekt za svako odlagalište)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 odlagalište-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Cigrovec</w:t>
            </w:r>
            <w:proofErr w:type="spellEnd"/>
          </w:p>
        </w:tc>
      </w:tr>
      <w:tr w:rsidR="009600B4" w:rsidRPr="009600B4" w:rsidTr="009600B4">
        <w:trPr>
          <w:trHeight w:val="108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Sanacija nerazvrstanih cesta na 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poručju</w:t>
            </w:r>
            <w:proofErr w:type="spellEnd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grada Pregrade(oko 90 km nerazvrstanih cesta)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Projekti za nogostupe dužine 4300 mi za cestu C1 , dužine 1410 m</w:t>
            </w:r>
          </w:p>
        </w:tc>
      </w:tr>
      <w:tr w:rsidR="009600B4" w:rsidRPr="009600B4" w:rsidTr="009600B4">
        <w:trPr>
          <w:trHeight w:val="96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Obnova , sanacija i vrednovanje povijesnih zidina 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Kostel</w:t>
            </w:r>
            <w:proofErr w:type="spellEnd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-grada u svrhu uključivanja u turističke i kulturne ponude grada Pregrade i KZŽ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Projekti i geodetski elaborat za 1 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povjesne</w:t>
            </w:r>
            <w:proofErr w:type="spellEnd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zidine</w:t>
            </w:r>
          </w:p>
        </w:tc>
      </w:tr>
      <w:tr w:rsidR="009600B4" w:rsidRPr="009600B4" w:rsidTr="009600B4">
        <w:trPr>
          <w:trHeight w:val="70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Izgradnja pogona za strojnu obradu metala sa opremom (Barić 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alatničarstvo</w:t>
            </w:r>
            <w:proofErr w:type="spellEnd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  <w:r w:rsidR="00DF1E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0E2D27" w:rsidRDefault="000E2D27" w:rsidP="00517B16">
      <w:pPr>
        <w:rPr>
          <w:rFonts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562"/>
        <w:gridCol w:w="1566"/>
        <w:gridCol w:w="1356"/>
        <w:gridCol w:w="1299"/>
        <w:gridCol w:w="2544"/>
        <w:gridCol w:w="833"/>
        <w:gridCol w:w="1128"/>
      </w:tblGrid>
      <w:tr w:rsidR="009600B4" w:rsidRPr="009600B4" w:rsidTr="009600B4">
        <w:trPr>
          <w:trHeight w:val="705"/>
        </w:trPr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STRATEŠKI CILJ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244062"/>
            <w:noWrap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Operativni cilj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5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Projekt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hr-HR"/>
              </w:rPr>
              <w:t>Stupanj prioriteta</w:t>
            </w:r>
          </w:p>
        </w:tc>
        <w:tc>
          <w:tcPr>
            <w:tcW w:w="7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Pokazatelj rezultata (količina-2015)</w:t>
            </w:r>
          </w:p>
        </w:tc>
      </w:tr>
      <w:tr w:rsidR="009600B4" w:rsidRPr="009600B4" w:rsidTr="009600B4">
        <w:trPr>
          <w:trHeight w:val="27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5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7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</w:p>
        </w:tc>
      </w:tr>
      <w:tr w:rsidR="009600B4" w:rsidRPr="009600B4" w:rsidTr="009600B4">
        <w:trPr>
          <w:trHeight w:val="39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IZGRADNJA HARD I SOFT INFRASTRUKTURE POTREBNE ZA RAST POSLOVANJA I UGODAN ŽIVOT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3.1. Do 2020.investirati u projekte 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infrasrukture</w:t>
            </w:r>
            <w:proofErr w:type="spellEnd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radi eliminiranja glavnih deset prepreka i ograničenja definiranih anketom o lokalnom poslovnom okruženju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3.1.1.i 3.1.2. Investicije u soft/investicije u 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hard</w:t>
            </w:r>
            <w:proofErr w:type="spellEnd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infrastrukturu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Izgradnja područne škole 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Stipernica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00B4" w:rsidRPr="009600B4" w:rsidTr="009600B4">
        <w:trPr>
          <w:trHeight w:val="61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Rekonstrukcija javne rasvjete na području grada Pregrade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DF1E7A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="009600B4"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200 rasvjetnih tijela</w:t>
            </w:r>
          </w:p>
        </w:tc>
      </w:tr>
      <w:tr w:rsidR="009600B4" w:rsidRPr="009600B4" w:rsidTr="009600B4">
        <w:trPr>
          <w:trHeight w:val="82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Postavljanje radarskih mjerača brzine kretanja i led indikatora na kritičnim pješačkim prijelazima (Hrvatske ceste 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DF1E7A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III</w:t>
            </w:r>
            <w:r w:rsidR="009600B4"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00B4" w:rsidRPr="009600B4" w:rsidTr="009600B4">
        <w:trPr>
          <w:trHeight w:val="58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Kupnja stroja za 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rotacini</w:t>
            </w:r>
            <w:proofErr w:type="spellEnd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lijev PRM -5000 i druga oprema (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Okiroto</w:t>
            </w:r>
            <w:proofErr w:type="spellEnd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DF1E7A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II</w:t>
            </w:r>
            <w:r w:rsidR="009600B4"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00B4" w:rsidRPr="009600B4" w:rsidTr="009600B4">
        <w:trPr>
          <w:trHeight w:val="40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Sanacija klizišta na području grada Pregrade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DF1E7A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="009600B4"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EE663D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saniranih 6 klizišta</w:t>
            </w:r>
            <w:r w:rsidR="009600B4"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00B4" w:rsidRPr="009600B4" w:rsidTr="009600B4">
        <w:trPr>
          <w:trHeight w:val="61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Vodoopskrbni sustav visoke zone VINAGORA,vodospremnik 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Vinagora</w:t>
            </w:r>
            <w:proofErr w:type="spellEnd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(VIOP)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DF1E7A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II</w:t>
            </w:r>
            <w:r w:rsidR="009600B4"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00B4" w:rsidRPr="009600B4" w:rsidTr="009600B4">
        <w:trPr>
          <w:trHeight w:val="57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Projektiranje i izgradnja uređaja za pročišćavanje otpadnih voda (VIOP)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DF1E7A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II</w:t>
            </w:r>
            <w:r w:rsidR="009600B4"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00B4" w:rsidRPr="009600B4" w:rsidTr="009600B4">
        <w:trPr>
          <w:trHeight w:val="48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Upravljanje gubicima i sanacija gubitaka na vodoopskrbnom sustavu Pregrade (VIOP)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DF1E7A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="009600B4"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600B4" w:rsidRPr="009600B4" w:rsidTr="009600B4">
        <w:trPr>
          <w:trHeight w:val="123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3.1.3.</w:t>
            </w: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</w:t>
            </w:r>
            <w:r w:rsidRPr="009600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3.1.4.</w:t>
            </w: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Umrežavanje rada civilnog društva s gradom i poduzetnicima /unapređenje kulturnih i sportskih sadržaja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Izgradnja i obnova dječjih igrališta u svakom mjesnom odboru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dječje igralište-Kuna park u Pregradi, igralište 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Benkovo</w:t>
            </w:r>
            <w:proofErr w:type="spellEnd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u 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Cigrovcu</w:t>
            </w:r>
            <w:proofErr w:type="spellEnd"/>
          </w:p>
        </w:tc>
      </w:tr>
      <w:tr w:rsidR="009600B4" w:rsidRPr="009600B4" w:rsidTr="009600B4">
        <w:trPr>
          <w:trHeight w:val="45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Poticajno okruženje za razvoj civilnog društva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600B4" w:rsidRPr="009600B4" w:rsidTr="009600B4">
        <w:trPr>
          <w:trHeight w:val="64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Nabava knjiga u knjižnici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1597 nabavljenih knjiga</w:t>
            </w:r>
          </w:p>
        </w:tc>
      </w:tr>
      <w:tr w:rsidR="009600B4" w:rsidRPr="009600B4" w:rsidTr="009600B4">
        <w:trPr>
          <w:trHeight w:val="66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TRANSFORMACIJA LOKALNE UPRAVE  U FUNKCIJI GOSPODARSKOG RAZVOJA I POVEĆANJA ATRAKTIVNOSTI PREGRADE ZA PRIVLAČENJE INVESTICIJA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4.1. </w:t>
            </w:r>
            <w:r w:rsidRPr="009600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Do 2020. </w:t>
            </w:r>
            <w:proofErr w:type="spellStart"/>
            <w:r w:rsidRPr="009600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smajiti</w:t>
            </w:r>
            <w:proofErr w:type="spellEnd"/>
            <w:r w:rsidRPr="009600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za 40% prigovore lokalnih poduzetnika na rad odjela i službi Grada te udvostručiti razinu privatnih ulaganja na području Grada do 2018.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4.1.1.</w:t>
            </w: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</w:t>
            </w:r>
            <w:r w:rsidRPr="009600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4.1.2.</w:t>
            </w: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Prostorno planiranje /strategije regeneracije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Izrada prostornog plana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 prostorni plan uređenja grada Pregrade</w:t>
            </w:r>
          </w:p>
        </w:tc>
      </w:tr>
      <w:tr w:rsidR="009600B4" w:rsidRPr="009600B4" w:rsidTr="009600B4">
        <w:trPr>
          <w:trHeight w:val="336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Nabava  opreme za rad gradske uprave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0B4" w:rsidRPr="009600B4" w:rsidRDefault="009600B4" w:rsidP="00960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00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računalna oprema i računalni programi</w:t>
            </w:r>
          </w:p>
        </w:tc>
      </w:tr>
    </w:tbl>
    <w:p w:rsidR="00427816" w:rsidRDefault="00427816">
      <w:pPr>
        <w:rPr>
          <w:rFonts w:cs="Arial"/>
        </w:rPr>
      </w:pPr>
    </w:p>
    <w:p w:rsidR="00C91F95" w:rsidRPr="00F87FC7" w:rsidRDefault="00C91F95" w:rsidP="00BF4093">
      <w:pPr>
        <w:pStyle w:val="Naslov1"/>
        <w:numPr>
          <w:ilvl w:val="0"/>
          <w:numId w:val="5"/>
        </w:numPr>
        <w:rPr>
          <w:rFonts w:asciiTheme="minorHAnsi" w:hAnsiTheme="minorHAnsi"/>
        </w:rPr>
      </w:pPr>
      <w:bookmarkStart w:id="4" w:name="_Toc461101453"/>
      <w:r w:rsidRPr="00F87FC7">
        <w:rPr>
          <w:rFonts w:asciiTheme="minorHAnsi" w:hAnsiTheme="minorHAnsi"/>
        </w:rPr>
        <w:lastRenderedPageBreak/>
        <w:t>Zaključak</w:t>
      </w:r>
      <w:bookmarkEnd w:id="4"/>
    </w:p>
    <w:p w:rsidR="00C91F95" w:rsidRPr="00F87FC7" w:rsidRDefault="00C91F95" w:rsidP="00C91F95">
      <w:pPr>
        <w:pStyle w:val="Odlomakpopisa"/>
        <w:rPr>
          <w:rFonts w:cs="Arial"/>
          <w:sz w:val="24"/>
          <w:szCs w:val="24"/>
        </w:rPr>
      </w:pPr>
    </w:p>
    <w:p w:rsidR="00A73DB0" w:rsidRPr="00F87FC7" w:rsidRDefault="00C91F95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Iz </w:t>
      </w:r>
      <w:r w:rsidR="00A73DB0" w:rsidRPr="00F87FC7">
        <w:rPr>
          <w:rFonts w:cs="Arial"/>
          <w:sz w:val="24"/>
          <w:szCs w:val="24"/>
        </w:rPr>
        <w:t>Izvješća o provedbi Strateškog plana gospodarskog razvoja grada Pregrade može se utvrditi da gospodarski subjekti, ustanove i organizacije civilnog društva nisu u dovoljnoj mjeri angažirani oko dostavljanja podataka potrebnih za Izvješće.</w:t>
      </w:r>
    </w:p>
    <w:p w:rsidR="00A73DB0" w:rsidRPr="00F87FC7" w:rsidRDefault="00A73DB0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Grad Pregrada planirao je svoje prihode i primitke temeljem Zakona o proračunu, uputama i smjernicama nadležnog Ministarstva te vlastitih procjena rasta ili pada pojedinih prihoda. Izrađen je plan razvojnih programa te realiziran  unutar okvira i sukladno planiranim sredstvima za njegovu provedbu. Na taj način </w:t>
      </w:r>
      <w:r w:rsidR="000F1CC8" w:rsidRPr="00F87FC7">
        <w:rPr>
          <w:rFonts w:cs="Arial"/>
          <w:sz w:val="24"/>
          <w:szCs w:val="24"/>
        </w:rPr>
        <w:t>moguće je</w:t>
      </w:r>
      <w:r w:rsidR="002F5DE6" w:rsidRPr="00F87FC7">
        <w:rPr>
          <w:rFonts w:cs="Arial"/>
          <w:sz w:val="24"/>
          <w:szCs w:val="24"/>
        </w:rPr>
        <w:t xml:space="preserve"> konstatirati </w:t>
      </w:r>
      <w:r w:rsidR="000F1CC8" w:rsidRPr="00F87FC7">
        <w:rPr>
          <w:rFonts w:cs="Arial"/>
          <w:sz w:val="24"/>
          <w:szCs w:val="24"/>
        </w:rPr>
        <w:t xml:space="preserve"> da je Grad izvršio svoje planirane obveze u planiranoj mjeri.</w:t>
      </w:r>
    </w:p>
    <w:p w:rsidR="00696E49" w:rsidRPr="00F87FC7" w:rsidRDefault="00933D9F" w:rsidP="004278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Zbog manjka </w:t>
      </w:r>
      <w:r w:rsidR="000F1CC8" w:rsidRPr="00F87FC7">
        <w:rPr>
          <w:rFonts w:cs="Arial"/>
          <w:sz w:val="24"/>
          <w:szCs w:val="24"/>
        </w:rPr>
        <w:t>podat</w:t>
      </w:r>
      <w:bookmarkStart w:id="5" w:name="_GoBack"/>
      <w:bookmarkEnd w:id="5"/>
      <w:r w:rsidR="000F1CC8" w:rsidRPr="00F87FC7">
        <w:rPr>
          <w:rFonts w:cs="Arial"/>
          <w:sz w:val="24"/>
          <w:szCs w:val="24"/>
        </w:rPr>
        <w:t xml:space="preserve">aka ostalih dionika na području Grada </w:t>
      </w:r>
      <w:r w:rsidR="00696E49" w:rsidRPr="00F87FC7">
        <w:rPr>
          <w:rFonts w:cs="Arial"/>
          <w:sz w:val="24"/>
          <w:szCs w:val="24"/>
        </w:rPr>
        <w:t xml:space="preserve">nije moguće odrediti koliko su svojim djelovanjem i provedbom aktivnosti doprinijeli ostvarenju zadanih ciljeva. </w:t>
      </w:r>
    </w:p>
    <w:p w:rsidR="00C91F95" w:rsidRPr="00F87FC7" w:rsidRDefault="00C91F95" w:rsidP="00C91F95">
      <w:pPr>
        <w:pStyle w:val="Odlomakpopisa"/>
        <w:rPr>
          <w:rFonts w:cs="Arial"/>
        </w:rPr>
      </w:pPr>
    </w:p>
    <w:p w:rsidR="004534B7" w:rsidRPr="00F87FC7" w:rsidRDefault="004534B7" w:rsidP="00BF4093">
      <w:pPr>
        <w:pStyle w:val="Naslov1"/>
        <w:rPr>
          <w:rFonts w:asciiTheme="minorHAnsi" w:hAnsiTheme="minorHAnsi"/>
        </w:rPr>
      </w:pPr>
      <w:bookmarkStart w:id="6" w:name="_Toc461101454"/>
      <w:r w:rsidRPr="00F87FC7">
        <w:rPr>
          <w:rFonts w:asciiTheme="minorHAnsi" w:hAnsiTheme="minorHAnsi"/>
        </w:rPr>
        <w:t>Prilozi</w:t>
      </w:r>
      <w:bookmarkEnd w:id="6"/>
    </w:p>
    <w:p w:rsidR="009A2C14" w:rsidRPr="001B1D29" w:rsidRDefault="009A2C14" w:rsidP="009A2C14">
      <w:pPr>
        <w:rPr>
          <w:rFonts w:cs="Arial"/>
          <w:sz w:val="24"/>
          <w:szCs w:val="24"/>
        </w:rPr>
      </w:pPr>
      <w:r w:rsidRPr="001B1D29">
        <w:rPr>
          <w:rFonts w:cs="Arial"/>
          <w:sz w:val="24"/>
          <w:szCs w:val="24"/>
        </w:rPr>
        <w:t>Tablica 1</w:t>
      </w:r>
      <w:r w:rsidR="00BF4093" w:rsidRPr="001B1D29">
        <w:rPr>
          <w:rFonts w:cs="Arial"/>
          <w:sz w:val="24"/>
          <w:szCs w:val="24"/>
        </w:rPr>
        <w:t>.</w:t>
      </w:r>
      <w:r w:rsidR="00C41966" w:rsidRPr="001B1D29">
        <w:rPr>
          <w:rFonts w:cs="Arial"/>
          <w:sz w:val="24"/>
          <w:szCs w:val="24"/>
        </w:rPr>
        <w:t xml:space="preserve"> </w:t>
      </w:r>
      <w:r w:rsidRPr="001B1D29">
        <w:rPr>
          <w:rFonts w:cs="Arial"/>
          <w:sz w:val="24"/>
          <w:szCs w:val="24"/>
        </w:rPr>
        <w:t xml:space="preserve"> Financijsko izvješće</w:t>
      </w:r>
    </w:p>
    <w:p w:rsidR="009A2C14" w:rsidRPr="00F87FC7" w:rsidRDefault="009A2C14" w:rsidP="009A2C14">
      <w:pPr>
        <w:rPr>
          <w:rFonts w:cs="Arial"/>
        </w:rPr>
      </w:pPr>
    </w:p>
    <w:p w:rsidR="009A2C14" w:rsidRPr="00F87FC7" w:rsidRDefault="009A2C14" w:rsidP="009A2C14">
      <w:pPr>
        <w:rPr>
          <w:rFonts w:cs="Arial"/>
        </w:rPr>
      </w:pPr>
    </w:p>
    <w:sectPr w:rsidR="009A2C14" w:rsidRPr="00F87FC7" w:rsidSect="00B345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A0" w:rsidRDefault="006504A0" w:rsidP="00BF4093">
      <w:pPr>
        <w:spacing w:after="0" w:line="240" w:lineRule="auto"/>
      </w:pPr>
      <w:r>
        <w:separator/>
      </w:r>
    </w:p>
  </w:endnote>
  <w:endnote w:type="continuationSeparator" w:id="0">
    <w:p w:rsidR="006504A0" w:rsidRDefault="006504A0" w:rsidP="00BF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5C" w:rsidRDefault="00B3455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439285"/>
      <w:docPartObj>
        <w:docPartGallery w:val="Page Numbers (Bottom of Page)"/>
        <w:docPartUnique/>
      </w:docPartObj>
    </w:sdtPr>
    <w:sdtContent>
      <w:p w:rsidR="00B3455C" w:rsidRDefault="00EC5FFD">
        <w:pPr>
          <w:pStyle w:val="Podnoje"/>
          <w:jc w:val="right"/>
        </w:pPr>
        <w:r>
          <w:fldChar w:fldCharType="begin"/>
        </w:r>
        <w:r w:rsidR="00B3455C">
          <w:instrText>PAGE   \* MERGEFORMAT</w:instrText>
        </w:r>
        <w:r>
          <w:fldChar w:fldCharType="separate"/>
        </w:r>
        <w:r w:rsidR="002F3CD6">
          <w:rPr>
            <w:noProof/>
          </w:rPr>
          <w:t>6</w:t>
        </w:r>
        <w:r>
          <w:fldChar w:fldCharType="end"/>
        </w:r>
      </w:p>
    </w:sdtContent>
  </w:sdt>
  <w:p w:rsidR="006504A0" w:rsidRDefault="006504A0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5C" w:rsidRDefault="00B3455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A0" w:rsidRDefault="006504A0" w:rsidP="00BF4093">
      <w:pPr>
        <w:spacing w:after="0" w:line="240" w:lineRule="auto"/>
      </w:pPr>
      <w:r>
        <w:separator/>
      </w:r>
    </w:p>
  </w:footnote>
  <w:footnote w:type="continuationSeparator" w:id="0">
    <w:p w:rsidR="006504A0" w:rsidRDefault="006504A0" w:rsidP="00BF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5C" w:rsidRDefault="00B3455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5C" w:rsidRDefault="00B3455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5C" w:rsidRDefault="00B3455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9D5"/>
    <w:multiLevelType w:val="hybridMultilevel"/>
    <w:tmpl w:val="4C9A323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595"/>
    <w:multiLevelType w:val="hybridMultilevel"/>
    <w:tmpl w:val="19D6A8A2"/>
    <w:lvl w:ilvl="0" w:tplc="EF6A5D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FF6B76"/>
    <w:multiLevelType w:val="multilevel"/>
    <w:tmpl w:val="71D8D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A37ED7"/>
    <w:multiLevelType w:val="multilevel"/>
    <w:tmpl w:val="E6B09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0827470"/>
    <w:multiLevelType w:val="multilevel"/>
    <w:tmpl w:val="3678F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C1"/>
    <w:rsid w:val="00004EBA"/>
    <w:rsid w:val="00035CB2"/>
    <w:rsid w:val="0003707D"/>
    <w:rsid w:val="00061426"/>
    <w:rsid w:val="00067EA4"/>
    <w:rsid w:val="000730DC"/>
    <w:rsid w:val="0007518E"/>
    <w:rsid w:val="000877DD"/>
    <w:rsid w:val="000B6670"/>
    <w:rsid w:val="000E2D27"/>
    <w:rsid w:val="000F1CC8"/>
    <w:rsid w:val="00103573"/>
    <w:rsid w:val="00105B98"/>
    <w:rsid w:val="00106165"/>
    <w:rsid w:val="001178B3"/>
    <w:rsid w:val="00132FF2"/>
    <w:rsid w:val="00134B02"/>
    <w:rsid w:val="001455D6"/>
    <w:rsid w:val="00160418"/>
    <w:rsid w:val="001660B4"/>
    <w:rsid w:val="00177883"/>
    <w:rsid w:val="00190EBA"/>
    <w:rsid w:val="001A12D9"/>
    <w:rsid w:val="001A33D5"/>
    <w:rsid w:val="001A431E"/>
    <w:rsid w:val="001A4E11"/>
    <w:rsid w:val="001B1D29"/>
    <w:rsid w:val="001E0380"/>
    <w:rsid w:val="001E07F6"/>
    <w:rsid w:val="001F7D9D"/>
    <w:rsid w:val="002129FF"/>
    <w:rsid w:val="00224A63"/>
    <w:rsid w:val="00267636"/>
    <w:rsid w:val="002C1BB0"/>
    <w:rsid w:val="002E0738"/>
    <w:rsid w:val="002F0E24"/>
    <w:rsid w:val="002F2BB3"/>
    <w:rsid w:val="002F3CD6"/>
    <w:rsid w:val="002F5DE6"/>
    <w:rsid w:val="00311434"/>
    <w:rsid w:val="003131F8"/>
    <w:rsid w:val="003133D4"/>
    <w:rsid w:val="0034351F"/>
    <w:rsid w:val="0034714D"/>
    <w:rsid w:val="00364CBC"/>
    <w:rsid w:val="00402A2D"/>
    <w:rsid w:val="004144F9"/>
    <w:rsid w:val="0041459C"/>
    <w:rsid w:val="00427816"/>
    <w:rsid w:val="00443FE1"/>
    <w:rsid w:val="004534B7"/>
    <w:rsid w:val="0045618D"/>
    <w:rsid w:val="004967AF"/>
    <w:rsid w:val="004C374A"/>
    <w:rsid w:val="004E1703"/>
    <w:rsid w:val="004E371F"/>
    <w:rsid w:val="004F362C"/>
    <w:rsid w:val="004F7488"/>
    <w:rsid w:val="005022A4"/>
    <w:rsid w:val="005106BC"/>
    <w:rsid w:val="00517B16"/>
    <w:rsid w:val="00541789"/>
    <w:rsid w:val="00544AC4"/>
    <w:rsid w:val="00545797"/>
    <w:rsid w:val="005658F7"/>
    <w:rsid w:val="00572A07"/>
    <w:rsid w:val="00574E97"/>
    <w:rsid w:val="0058748E"/>
    <w:rsid w:val="005A1A1E"/>
    <w:rsid w:val="005A4DA9"/>
    <w:rsid w:val="005B3771"/>
    <w:rsid w:val="00607516"/>
    <w:rsid w:val="00614E54"/>
    <w:rsid w:val="006504A0"/>
    <w:rsid w:val="00652496"/>
    <w:rsid w:val="00681A85"/>
    <w:rsid w:val="00691637"/>
    <w:rsid w:val="00696E49"/>
    <w:rsid w:val="006A18B7"/>
    <w:rsid w:val="006B6F09"/>
    <w:rsid w:val="006C5DC1"/>
    <w:rsid w:val="006D17C1"/>
    <w:rsid w:val="006D1EB0"/>
    <w:rsid w:val="006D4DAF"/>
    <w:rsid w:val="006F01B6"/>
    <w:rsid w:val="007030F1"/>
    <w:rsid w:val="00735E1F"/>
    <w:rsid w:val="00753D14"/>
    <w:rsid w:val="007A5635"/>
    <w:rsid w:val="007C7C00"/>
    <w:rsid w:val="007F1590"/>
    <w:rsid w:val="007F2201"/>
    <w:rsid w:val="00856B9E"/>
    <w:rsid w:val="0088208F"/>
    <w:rsid w:val="008A7761"/>
    <w:rsid w:val="008E5F7F"/>
    <w:rsid w:val="008F1D7A"/>
    <w:rsid w:val="009153AF"/>
    <w:rsid w:val="00930611"/>
    <w:rsid w:val="00933D9F"/>
    <w:rsid w:val="00951CE6"/>
    <w:rsid w:val="00956B90"/>
    <w:rsid w:val="009600B4"/>
    <w:rsid w:val="00985D08"/>
    <w:rsid w:val="009A2C14"/>
    <w:rsid w:val="009A36A5"/>
    <w:rsid w:val="009A4F7A"/>
    <w:rsid w:val="009B131E"/>
    <w:rsid w:val="009B4E6C"/>
    <w:rsid w:val="009C2764"/>
    <w:rsid w:val="009D538E"/>
    <w:rsid w:val="009D5466"/>
    <w:rsid w:val="009E58A9"/>
    <w:rsid w:val="009E628B"/>
    <w:rsid w:val="00A3105F"/>
    <w:rsid w:val="00A41423"/>
    <w:rsid w:val="00A43F86"/>
    <w:rsid w:val="00A73DB0"/>
    <w:rsid w:val="00A73F81"/>
    <w:rsid w:val="00A863CF"/>
    <w:rsid w:val="00AB77A5"/>
    <w:rsid w:val="00AF3581"/>
    <w:rsid w:val="00AF7997"/>
    <w:rsid w:val="00B008EB"/>
    <w:rsid w:val="00B075B5"/>
    <w:rsid w:val="00B13A47"/>
    <w:rsid w:val="00B3455C"/>
    <w:rsid w:val="00B71553"/>
    <w:rsid w:val="00BB5D9F"/>
    <w:rsid w:val="00BB6702"/>
    <w:rsid w:val="00BC2698"/>
    <w:rsid w:val="00BD57DE"/>
    <w:rsid w:val="00BF4093"/>
    <w:rsid w:val="00C15F89"/>
    <w:rsid w:val="00C24C6E"/>
    <w:rsid w:val="00C3628F"/>
    <w:rsid w:val="00C363C9"/>
    <w:rsid w:val="00C41966"/>
    <w:rsid w:val="00C437B1"/>
    <w:rsid w:val="00C7724B"/>
    <w:rsid w:val="00C914A3"/>
    <w:rsid w:val="00C91F95"/>
    <w:rsid w:val="00CA782A"/>
    <w:rsid w:val="00CC33EF"/>
    <w:rsid w:val="00CE0907"/>
    <w:rsid w:val="00CE3FF5"/>
    <w:rsid w:val="00CF2239"/>
    <w:rsid w:val="00D4068A"/>
    <w:rsid w:val="00D4330A"/>
    <w:rsid w:val="00D55F48"/>
    <w:rsid w:val="00D57871"/>
    <w:rsid w:val="00D623AD"/>
    <w:rsid w:val="00D948BD"/>
    <w:rsid w:val="00DC4719"/>
    <w:rsid w:val="00DC53AA"/>
    <w:rsid w:val="00DD233A"/>
    <w:rsid w:val="00DF1E7A"/>
    <w:rsid w:val="00E26F9A"/>
    <w:rsid w:val="00E459A1"/>
    <w:rsid w:val="00E50616"/>
    <w:rsid w:val="00E55457"/>
    <w:rsid w:val="00E57BBF"/>
    <w:rsid w:val="00E66157"/>
    <w:rsid w:val="00EC5FFD"/>
    <w:rsid w:val="00ED26FE"/>
    <w:rsid w:val="00ED2F6C"/>
    <w:rsid w:val="00EE1DC4"/>
    <w:rsid w:val="00EE663D"/>
    <w:rsid w:val="00EE79DB"/>
    <w:rsid w:val="00EF76CC"/>
    <w:rsid w:val="00F0629D"/>
    <w:rsid w:val="00F113F0"/>
    <w:rsid w:val="00F31746"/>
    <w:rsid w:val="00F32915"/>
    <w:rsid w:val="00F32B66"/>
    <w:rsid w:val="00F737F8"/>
    <w:rsid w:val="00F87FC7"/>
    <w:rsid w:val="00F90E87"/>
    <w:rsid w:val="00FA69A6"/>
    <w:rsid w:val="00FA7B82"/>
    <w:rsid w:val="00FC3534"/>
    <w:rsid w:val="00FE3004"/>
    <w:rsid w:val="00FE37AF"/>
    <w:rsid w:val="00FF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81"/>
  </w:style>
  <w:style w:type="paragraph" w:styleId="Naslov1">
    <w:name w:val="heading 1"/>
    <w:basedOn w:val="Normal"/>
    <w:next w:val="Normal"/>
    <w:link w:val="Naslov1Char"/>
    <w:uiPriority w:val="9"/>
    <w:qFormat/>
    <w:rsid w:val="00BF4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4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33A"/>
    <w:pPr>
      <w:ind w:left="720"/>
      <w:contextualSpacing/>
    </w:pPr>
  </w:style>
  <w:style w:type="table" w:styleId="Reetkatablice">
    <w:name w:val="Table Grid"/>
    <w:basedOn w:val="Obinatablica"/>
    <w:uiPriority w:val="59"/>
    <w:rsid w:val="00F3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2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4093"/>
  </w:style>
  <w:style w:type="paragraph" w:styleId="Podnoje">
    <w:name w:val="footer"/>
    <w:basedOn w:val="Normal"/>
    <w:link w:val="PodnojeChar"/>
    <w:uiPriority w:val="99"/>
    <w:unhideWhenUsed/>
    <w:rsid w:val="00BF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4093"/>
  </w:style>
  <w:style w:type="character" w:customStyle="1" w:styleId="Naslov1Char">
    <w:name w:val="Naslov 1 Char"/>
    <w:basedOn w:val="Zadanifontodlomka"/>
    <w:link w:val="Naslov1"/>
    <w:uiPriority w:val="9"/>
    <w:rsid w:val="00BF40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F40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2C1BB0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C1BB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C1BB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2C1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ahUKEwiNyOn62PfOAhXDEiwKHX5NBmIQjRwIBw&amp;url=http://www.pregrada.hr/grb-i-zastava&amp;psig=AFQjCNFEnGrl3NeZKfiJAnVK6PdZFKlJYg&amp;ust=147314660922945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CB198-3D52-472B-8029-7BC68D8A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10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109</cp:revision>
  <cp:lastPrinted>2016-09-08T10:30:00Z</cp:lastPrinted>
  <dcterms:created xsi:type="dcterms:W3CDTF">2016-08-31T08:11:00Z</dcterms:created>
  <dcterms:modified xsi:type="dcterms:W3CDTF">2016-09-08T11:19:00Z</dcterms:modified>
</cp:coreProperties>
</file>